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0"/>
      </w:pPr>
    </w:p>
    <w:p>
      <w:pPr>
        <w:spacing w:after="300"/>
      </w:pPr>
      <w:r>
        <w:rPr>
          <w:b/>
          <w:bCs/>
          <w:color w:val="1D659C"/>
          <w:sz w:val="26"/>
          <w:szCs w:val="26"/>
        </w:rPr>
        <w:t xml:space="preserve">NextStart.AI</w:t>
      </w:r>
    </w:p>
    <w:p>
      <w:pPr>
        <w:spacing w:after="200"/>
      </w:pPr>
      <w:r>
        <w:rPr>
          <w:b/>
          <w:bCs/>
          <w:color w:val="10213A"/>
          <w:sz w:val="64"/>
          <w:szCs w:val="64"/>
        </w:rPr>
        <w:t xml:space="preserve">Kit IA pour les équipes juridiques</w:t>
      </w:r>
    </w:p>
    <w:p>
      <w:pPr>
        <w:spacing w:after="600"/>
      </w:pPr>
      <w:r>
        <w:rPr>
          <w:color w:val="1D659C"/>
          <w:sz w:val="34"/>
          <w:szCs w:val="34"/>
        </w:rPr>
        <w:t xml:space="preserve">30 cas d’usage du quotidien et leurs prompts, en 3 niveaux</w:t>
      </w:r>
    </w:p>
    <w:p>
      <w:pPr>
        <w:spacing w:after="100" w:line="264"/>
      </w:pPr>
      <w:r>
        <w:rPr>
          <w:color w:val="5B6B7B"/>
          <w:sz w:val="23"/>
          <w:szCs w:val="23"/>
        </w:rPr>
        <w:t xml:space="preserve">Du premier prompt à l’assistant supervisé : un parcours de six semaines pour que chaque juriste, chaque responsable conformité et chaque assistant juridique d’une grande organisation gagne en autonomie avec l’IA générative, sans jamais sacrifier la confidentialité ni la vérification.</w:t>
      </w:r>
    </w:p>
    <w:p>
      <w:pPr>
        <w:spacing w:after="2400"/>
      </w:pPr>
    </w:p>
    <w:p>
      <w:pPr>
        <w:spacing w:after="80"/>
      </w:pPr>
      <w:r>
        <w:rPr>
          <w:color w:val="5B6B7B"/>
          <w:sz w:val="17"/>
          <w:szCs w:val="17"/>
        </w:rPr>
        <w:t xml:space="preserve">Édition septembre 2026. Document destiné à un usage interne dans votre organisation. Les prompts sont libres de réutilisation et d’adaptation.</w:t>
      </w:r>
    </w:p>
    <w:p>
      <w:pPr>
        <w:spacing w:after="80"/>
      </w:pPr>
      <w:r>
        <w:rPr>
          <w:color w:val="5B6B7B"/>
          <w:sz w:val="17"/>
          <w:szCs w:val="17"/>
        </w:rPr>
        <w:t xml:space="preserve">NextStart Consulting, Paris. www.nextstart.ai</w:t>
      </w:r>
    </w:p>
    <w:p>
      <w:r>
        <w:br w:type="page"/>
      </w:r>
    </w:p>
    <w:p>
      <w:pPr>
        <w:pStyle w:val="Heading1"/>
      </w:pPr>
      <w:r>
        <w:t xml:space="preserve">Sommaire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1500"/>
        <w:gridCol w:w="3600"/>
        <w:gridCol w:w="4500"/>
      </w:tblGrid>
      <w:tr>
        <w:trPr>
          <w:cantSplit/>
        </w:trPr>
        <w:tc>
          <w:tcPr>
            <w:tcW w:type="dxa" w:w="1500"/>
            <w:shd w:fill="F2F6FA" w:color="auto" w:val="clear"/>
            <w:tcMar>
              <w:top w:type="dxa" w:w="70"/>
              <w:left w:type="dxa" w:w="110"/>
              <w:bottom w:type="dxa" w:w="70"/>
              <w:right w:type="dxa" w:w="110"/>
            </w:tcMar>
          </w:tcPr>
          <w:p>
            <w:pPr>
              <w:spacing w:after="40" w:line="252"/>
            </w:pPr>
            <w:r>
              <w:rPr>
                <w:sz w:val="19"/>
                <w:szCs w:val="19"/>
              </w:rPr>
              <w:t xml:space="preserve">Partie 0</w:t>
            </w:r>
          </w:p>
        </w:tc>
        <w:tc>
          <w:tcPr>
            <w:tcW w:type="dxa" w:w="3600"/>
            <w:shd w:fill="F2F6FA" w:color="auto" w:val="clear"/>
            <w:tcMar>
              <w:top w:type="dxa" w:w="70"/>
              <w:left w:type="dxa" w:w="110"/>
              <w:bottom w:type="dxa" w:w="70"/>
              <w:right w:type="dxa" w:w="110"/>
            </w:tcMar>
          </w:tcPr>
          <w:p>
            <w:pPr>
              <w:spacing w:after="40" w:line="252"/>
            </w:pPr>
            <w:r>
              <w:rPr>
                <w:b/>
                <w:bCs/>
                <w:sz w:val="19"/>
                <w:szCs w:val="19"/>
              </w:rPr>
              <w:t xml:space="preserve">Le cadre : lire avant le premier prompt</w:t>
            </w:r>
          </w:p>
        </w:tc>
        <w:tc>
          <w:tcPr>
            <w:tcW w:type="dxa" w:w="4500"/>
            <w:shd w:fill="F2F6FA" w:color="auto" w:val="clear"/>
            <w:tcMar>
              <w:top w:type="dxa" w:w="70"/>
              <w:left w:type="dxa" w:w="110"/>
              <w:bottom w:type="dxa" w:w="70"/>
              <w:right w:type="dxa" w:w="110"/>
            </w:tcMar>
          </w:tcPr>
          <w:p>
            <w:pPr>
              <w:spacing w:after="40" w:line="252"/>
            </w:pPr>
            <w:r>
              <w:rPr>
                <w:sz w:val="19"/>
                <w:szCs w:val="19"/>
              </w:rPr>
              <w:t xml:space="preserve">Pourquoi ce kit, comment l’utiliser, la zone rouge des données, le gabarit de prompt, les trois règles de vérification, ce que l’AI Act attend de vous.</w:t>
            </w:r>
          </w:p>
        </w:tc>
      </w:tr>
      <w:tr>
        <w:trPr>
          <w:cantSplit/>
        </w:trPr>
        <w:tc>
          <w:tcPr>
            <w:tcW w:type="dxa" w:w="1500"/>
            <w:tcMar>
              <w:top w:type="dxa" w:w="70"/>
              <w:left w:type="dxa" w:w="110"/>
              <w:bottom w:type="dxa" w:w="70"/>
              <w:right w:type="dxa" w:w="110"/>
            </w:tcMar>
          </w:tcPr>
          <w:p>
            <w:pPr>
              <w:spacing w:after="40" w:line="252"/>
            </w:pPr>
            <w:r>
              <w:rPr>
                <w:sz w:val="19"/>
                <w:szCs w:val="19"/>
              </w:rPr>
              <w:t xml:space="preserve">Niveau 1</w:t>
            </w:r>
          </w:p>
        </w:tc>
        <w:tc>
          <w:tcPr>
            <w:tcW w:type="dxa" w:w="3600"/>
            <w:tcMar>
              <w:top w:type="dxa" w:w="70"/>
              <w:left w:type="dxa" w:w="110"/>
              <w:bottom w:type="dxa" w:w="70"/>
              <w:right w:type="dxa" w:w="110"/>
            </w:tcMar>
          </w:tcPr>
          <w:p>
            <w:pPr>
              <w:spacing w:after="40" w:line="252"/>
            </w:pPr>
            <w:r>
              <w:rPr>
                <w:b/>
                <w:bCs/>
                <w:sz w:val="19"/>
                <w:szCs w:val="19"/>
              </w:rPr>
              <w:t xml:space="preserve">Prendre en main : gagner du temps dès aujourd’hui</w:t>
            </w:r>
          </w:p>
        </w:tc>
        <w:tc>
          <w:tcPr>
            <w:tcW w:type="dxa" w:w="4500"/>
            <w:tcMar>
              <w:top w:type="dxa" w:w="70"/>
              <w:left w:type="dxa" w:w="110"/>
              <w:bottom w:type="dxa" w:w="70"/>
              <w:right w:type="dxa" w:w="110"/>
            </w:tcMar>
          </w:tcPr>
          <w:p>
            <w:pPr>
              <w:spacing w:after="40" w:line="252"/>
            </w:pPr>
            <w:r>
              <w:rPr>
                <w:sz w:val="19"/>
                <w:szCs w:val="19"/>
              </w:rPr>
              <w:t xml:space="preserve">Fiches 1 à 10. Le juriste fournit le texte, la sortie se relit en cinq minutes.</w:t>
            </w:r>
          </w:p>
        </w:tc>
      </w:tr>
      <w:tr>
        <w:trPr>
          <w:cantSplit/>
        </w:trPr>
        <w:tc>
          <w:tcPr>
            <w:tcW w:type="dxa" w:w="1500"/>
            <w:shd w:fill="F2F6FA" w:color="auto" w:val="clear"/>
            <w:tcMar>
              <w:top w:type="dxa" w:w="70"/>
              <w:left w:type="dxa" w:w="110"/>
              <w:bottom w:type="dxa" w:w="70"/>
              <w:right w:type="dxa" w:w="110"/>
            </w:tcMar>
          </w:tcPr>
          <w:p>
            <w:pPr>
              <w:spacing w:after="40" w:line="252"/>
            </w:pPr>
            <w:r>
              <w:rPr>
                <w:sz w:val="19"/>
                <w:szCs w:val="19"/>
              </w:rPr>
              <w:t xml:space="preserve">Niveau 2</w:t>
            </w:r>
          </w:p>
        </w:tc>
        <w:tc>
          <w:tcPr>
            <w:tcW w:type="dxa" w:w="3600"/>
            <w:shd w:fill="F2F6FA" w:color="auto" w:val="clear"/>
            <w:tcMar>
              <w:top w:type="dxa" w:w="70"/>
              <w:left w:type="dxa" w:w="110"/>
              <w:bottom w:type="dxa" w:w="70"/>
              <w:right w:type="dxa" w:w="110"/>
            </w:tcMar>
          </w:tcPr>
          <w:p>
            <w:pPr>
              <w:spacing w:after="40" w:line="252"/>
            </w:pPr>
            <w:r>
              <w:rPr>
                <w:b/>
                <w:bCs/>
                <w:sz w:val="19"/>
                <w:szCs w:val="19"/>
              </w:rPr>
              <w:t xml:space="preserve">Analyser et rédiger avec méthode</w:t>
            </w:r>
          </w:p>
        </w:tc>
        <w:tc>
          <w:tcPr>
            <w:tcW w:type="dxa" w:w="4500"/>
            <w:shd w:fill="F2F6FA" w:color="auto" w:val="clear"/>
            <w:tcMar>
              <w:top w:type="dxa" w:w="70"/>
              <w:left w:type="dxa" w:w="110"/>
              <w:bottom w:type="dxa" w:w="70"/>
              <w:right w:type="dxa" w:w="110"/>
            </w:tcMar>
          </w:tcPr>
          <w:p>
            <w:pPr>
              <w:spacing w:after="40" w:line="252"/>
            </w:pPr>
            <w:r>
              <w:rPr>
                <w:sz w:val="19"/>
                <w:szCs w:val="19"/>
              </w:rPr>
              <w:t xml:space="preserve">Fiches 11 à 22. Vos documents et vos positions, des tableaux et des comparaisons, la vérification systématique.</w:t>
            </w:r>
          </w:p>
        </w:tc>
      </w:tr>
      <w:tr>
        <w:trPr>
          <w:cantSplit/>
        </w:trPr>
        <w:tc>
          <w:tcPr>
            <w:tcW w:type="dxa" w:w="1500"/>
            <w:tcMar>
              <w:top w:type="dxa" w:w="70"/>
              <w:left w:type="dxa" w:w="110"/>
              <w:bottom w:type="dxa" w:w="70"/>
              <w:right w:type="dxa" w:w="110"/>
            </w:tcMar>
          </w:tcPr>
          <w:p>
            <w:pPr>
              <w:spacing w:after="40" w:line="252"/>
            </w:pPr>
            <w:r>
              <w:rPr>
                <w:sz w:val="19"/>
                <w:szCs w:val="19"/>
              </w:rPr>
              <w:t xml:space="preserve">Niveau 3</w:t>
            </w:r>
          </w:p>
        </w:tc>
        <w:tc>
          <w:tcPr>
            <w:tcW w:type="dxa" w:w="3600"/>
            <w:tcMar>
              <w:top w:type="dxa" w:w="70"/>
              <w:left w:type="dxa" w:w="110"/>
              <w:bottom w:type="dxa" w:w="70"/>
              <w:right w:type="dxa" w:w="110"/>
            </w:tcMar>
          </w:tcPr>
          <w:p>
            <w:pPr>
              <w:spacing w:after="40" w:line="252"/>
            </w:pPr>
            <w:r>
              <w:rPr>
                <w:b/>
                <w:bCs/>
                <w:sz w:val="19"/>
                <w:szCs w:val="19"/>
              </w:rPr>
              <w:t xml:space="preserve">Déléguer à des assistants et des agents supervisés</w:t>
            </w:r>
          </w:p>
        </w:tc>
        <w:tc>
          <w:tcPr>
            <w:tcW w:type="dxa" w:w="4500"/>
            <w:tcMar>
              <w:top w:type="dxa" w:w="70"/>
              <w:left w:type="dxa" w:w="110"/>
              <w:bottom w:type="dxa" w:w="70"/>
              <w:right w:type="dxa" w:w="110"/>
            </w:tcMar>
          </w:tcPr>
          <w:p>
            <w:pPr>
              <w:spacing w:after="40" w:line="252"/>
            </w:pPr>
            <w:r>
              <w:rPr>
                <w:sz w:val="19"/>
                <w:szCs w:val="19"/>
              </w:rPr>
              <w:t xml:space="preserve">Fiches 23 à 30. Du prompt à l’instruction permanente ; l’humain reste dans la boucle.</w:t>
            </w:r>
          </w:p>
        </w:tc>
      </w:tr>
      <w:tr>
        <w:trPr>
          <w:cantSplit/>
        </w:trPr>
        <w:tc>
          <w:tcPr>
            <w:tcW w:type="dxa" w:w="1500"/>
            <w:shd w:fill="F2F6FA" w:color="auto" w:val="clear"/>
            <w:tcMar>
              <w:top w:type="dxa" w:w="70"/>
              <w:left w:type="dxa" w:w="110"/>
              <w:bottom w:type="dxa" w:w="70"/>
              <w:right w:type="dxa" w:w="110"/>
            </w:tcMar>
          </w:tcPr>
          <w:p>
            <w:pPr>
              <w:spacing w:after="40" w:line="252"/>
            </w:pPr>
            <w:r>
              <w:rPr>
                <w:sz w:val="19"/>
                <w:szCs w:val="19"/>
              </w:rPr>
              <w:t xml:space="preserve">Partie 4</w:t>
            </w:r>
          </w:p>
        </w:tc>
        <w:tc>
          <w:tcPr>
            <w:tcW w:type="dxa" w:w="3600"/>
            <w:shd w:fill="F2F6FA" w:color="auto" w:val="clear"/>
            <w:tcMar>
              <w:top w:type="dxa" w:w="70"/>
              <w:left w:type="dxa" w:w="110"/>
              <w:bottom w:type="dxa" w:w="70"/>
              <w:right w:type="dxa" w:w="110"/>
            </w:tcMar>
          </w:tcPr>
          <w:p>
            <w:pPr>
              <w:spacing w:after="40" w:line="252"/>
            </w:pPr>
            <w:r>
              <w:rPr>
                <w:b/>
                <w:bCs/>
                <w:sz w:val="19"/>
                <w:szCs w:val="19"/>
              </w:rPr>
              <w:t xml:space="preserve">Déployer le kit dans l’équipe</w:t>
            </w:r>
          </w:p>
        </w:tc>
        <w:tc>
          <w:tcPr>
            <w:tcW w:type="dxa" w:w="4500"/>
            <w:shd w:fill="F2F6FA" w:color="auto" w:val="clear"/>
            <w:tcMar>
              <w:top w:type="dxa" w:w="70"/>
              <w:left w:type="dxa" w:w="110"/>
              <w:bottom w:type="dxa" w:w="70"/>
              <w:right w:type="dxa" w:w="110"/>
            </w:tcMar>
          </w:tcPr>
          <w:p>
            <w:pPr>
              <w:spacing w:after="40" w:line="252"/>
            </w:pPr>
            <w:r>
              <w:rPr>
                <w:sz w:val="19"/>
                <w:szCs w:val="19"/>
              </w:rPr>
              <w:t xml:space="preserve">Parcours de six semaines, atelier hebdomadaire, bibliothèque partagée, indicateurs, documentation.</w:t>
            </w:r>
          </w:p>
        </w:tc>
      </w:tr>
      <w:tr>
        <w:trPr>
          <w:cantSplit/>
        </w:trPr>
        <w:tc>
          <w:tcPr>
            <w:tcW w:type="dxa" w:w="1500"/>
            <w:tcMar>
              <w:top w:type="dxa" w:w="70"/>
              <w:left w:type="dxa" w:w="110"/>
              <w:bottom w:type="dxa" w:w="70"/>
              <w:right w:type="dxa" w:w="110"/>
            </w:tcMar>
          </w:tcPr>
          <w:p>
            <w:pPr>
              <w:spacing w:after="40" w:line="252"/>
            </w:pPr>
            <w:r>
              <w:rPr>
                <w:sz w:val="19"/>
                <w:szCs w:val="19"/>
              </w:rPr>
              <w:t xml:space="preserve">Annexes</w:t>
            </w:r>
          </w:p>
        </w:tc>
        <w:tc>
          <w:tcPr>
            <w:tcW w:type="dxa" w:w="3600"/>
            <w:tcMar>
              <w:top w:type="dxa" w:w="70"/>
              <w:left w:type="dxa" w:w="110"/>
              <w:bottom w:type="dxa" w:w="70"/>
              <w:right w:type="dxa" w:w="110"/>
            </w:tcMar>
          </w:tcPr>
          <w:p>
            <w:pPr>
              <w:spacing w:after="40" w:line="252"/>
            </w:pPr>
            <w:r>
              <w:rPr>
                <w:b/>
                <w:bCs/>
                <w:sz w:val="19"/>
                <w:szCs w:val="19"/>
              </w:rPr>
              <w:t xml:space="preserve">A à G</w:t>
            </w:r>
          </w:p>
        </w:tc>
        <w:tc>
          <w:tcPr>
            <w:tcW w:type="dxa" w:w="4500"/>
            <w:tcMar>
              <w:top w:type="dxa" w:w="70"/>
              <w:left w:type="dxa" w:w="110"/>
              <w:bottom w:type="dxa" w:w="70"/>
              <w:right w:type="dxa" w:w="110"/>
            </w:tcMar>
          </w:tcPr>
          <w:p>
            <w:pPr>
              <w:spacing w:after="40" w:line="252"/>
            </w:pPr>
            <w:r>
              <w:rPr>
                <w:sz w:val="19"/>
                <w:szCs w:val="19"/>
              </w:rPr>
              <w:t xml:space="preserve">Auto-évaluation, gabarit de fiche, checklist de vérification et zone rouge, correspondance par outil, adaptation par secteur, journal de progression, sources.</w:t>
            </w:r>
          </w:p>
        </w:tc>
      </w:tr>
    </w:tbl>
    <w:p>
      <w:pPr>
        <w:spacing w:after="200"/>
      </w:pPr>
    </w:p>
    <w:p>
      <w:pPr>
        <w:pStyle w:val="Heading2"/>
      </w:pPr>
      <w:r>
        <w:t xml:space="preserve">Les 30 fiches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700"/>
        <w:gridCol w:w="6000"/>
        <w:gridCol w:w="2900"/>
      </w:tblGrid>
      <w:tr>
        <w:trPr>
          <w:cantSplit/>
          <w:tblHeader/>
        </w:trPr>
        <w:tc>
          <w:tcPr>
            <w:tcW w:type="dxa" w:w="700"/>
            <w:shd w:fill="10213A" w:color="auto" w:val="clear"/>
            <w:tcMar>
              <w:top w:type="dxa" w:w="20"/>
              <w:left w:type="dxa" w:w="110"/>
              <w:bottom w:type="dxa" w:w="20"/>
              <w:right w:type="dxa" w:w="110"/>
            </w:tcMar>
          </w:tcPr>
          <w:p>
            <w:pPr>
              <w:spacing w:after="40" w:line="252"/>
            </w:pPr>
            <w:r>
              <w:rPr>
                <w:b/>
                <w:bCs/>
                <w:color w:val="FFFFFF"/>
                <w:sz w:val="19"/>
                <w:szCs w:val="19"/>
              </w:rPr>
              <w:t xml:space="preserve">N°</w:t>
            </w:r>
          </w:p>
        </w:tc>
        <w:tc>
          <w:tcPr>
            <w:tcW w:type="dxa" w:w="6000"/>
            <w:shd w:fill="10213A" w:color="auto" w:val="clear"/>
            <w:tcMar>
              <w:top w:type="dxa" w:w="20"/>
              <w:left w:type="dxa" w:w="110"/>
              <w:bottom w:type="dxa" w:w="20"/>
              <w:right w:type="dxa" w:w="110"/>
            </w:tcMar>
          </w:tcPr>
          <w:p>
            <w:pPr>
              <w:spacing w:after="40" w:line="252"/>
            </w:pPr>
            <w:r>
              <w:rPr>
                <w:b/>
                <w:bCs/>
                <w:color w:val="FFFFFF"/>
                <w:sz w:val="19"/>
                <w:szCs w:val="19"/>
              </w:rPr>
              <w:t xml:space="preserve">Cas d’usage</w:t>
            </w:r>
          </w:p>
        </w:tc>
        <w:tc>
          <w:tcPr>
            <w:tcW w:type="dxa" w:w="2900"/>
            <w:shd w:fill="10213A" w:color="auto" w:val="clear"/>
            <w:tcMar>
              <w:top w:type="dxa" w:w="20"/>
              <w:left w:type="dxa" w:w="110"/>
              <w:bottom w:type="dxa" w:w="20"/>
              <w:right w:type="dxa" w:w="110"/>
            </w:tcMar>
          </w:tcPr>
          <w:p>
            <w:pPr>
              <w:spacing w:after="40" w:line="252"/>
            </w:pPr>
            <w:r>
              <w:rPr>
                <w:b/>
                <w:bCs/>
                <w:color w:val="FFFFFF"/>
                <w:sz w:val="19"/>
                <w:szCs w:val="19"/>
              </w:rPr>
              <w:t xml:space="preserve">Famille</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1</w:t>
            </w:r>
          </w:p>
        </w:tc>
        <w:tc>
          <w:tcPr>
            <w:tcW w:type="dxa" w:w="6000"/>
            <w:tcMar>
              <w:top w:type="dxa" w:w="20"/>
              <w:left w:type="dxa" w:w="110"/>
              <w:bottom w:type="dxa" w:w="20"/>
              <w:right w:type="dxa" w:w="110"/>
            </w:tcMar>
          </w:tcPr>
          <w:p>
            <w:pPr>
              <w:spacing w:after="40" w:line="252"/>
            </w:pPr>
            <w:r>
              <w:rPr>
                <w:sz w:val="19"/>
                <w:szCs w:val="19"/>
              </w:rPr>
              <w:t xml:space="preserve">Synthétiser un texte long en points d’attention</w:t>
            </w:r>
          </w:p>
        </w:tc>
        <w:tc>
          <w:tcPr>
            <w:tcW w:type="dxa" w:w="2900"/>
            <w:tcMar>
              <w:top w:type="dxa" w:w="20"/>
              <w:left w:type="dxa" w:w="110"/>
              <w:bottom w:type="dxa" w:w="20"/>
              <w:right w:type="dxa" w:w="110"/>
            </w:tcMar>
          </w:tcPr>
          <w:p>
            <w:pPr>
              <w:spacing w:after="40" w:line="252"/>
            </w:pPr>
            <w:r>
              <w:rPr>
                <w:sz w:val="19"/>
                <w:szCs w:val="19"/>
              </w:rPr>
              <w:t xml:space="preserve">Recherche juridique</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2</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Expliquer une clause ou un contrat en langage clair</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Communication</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3</w:t>
            </w:r>
          </w:p>
        </w:tc>
        <w:tc>
          <w:tcPr>
            <w:tcW w:type="dxa" w:w="6000"/>
            <w:tcMar>
              <w:top w:type="dxa" w:w="20"/>
              <w:left w:type="dxa" w:w="110"/>
              <w:bottom w:type="dxa" w:w="20"/>
              <w:right w:type="dxa" w:w="110"/>
            </w:tcMar>
          </w:tcPr>
          <w:p>
            <w:pPr>
              <w:spacing w:after="40" w:line="252"/>
            </w:pPr>
            <w:r>
              <w:rPr>
                <w:sz w:val="19"/>
                <w:szCs w:val="19"/>
              </w:rPr>
              <w:t xml:space="preserve">Reformuler un email délicat</w:t>
            </w:r>
          </w:p>
        </w:tc>
        <w:tc>
          <w:tcPr>
            <w:tcW w:type="dxa" w:w="2900"/>
            <w:tcMar>
              <w:top w:type="dxa" w:w="20"/>
              <w:left w:type="dxa" w:w="110"/>
              <w:bottom w:type="dxa" w:w="20"/>
              <w:right w:type="dxa" w:w="110"/>
            </w:tcMar>
          </w:tcPr>
          <w:p>
            <w:pPr>
              <w:spacing w:after="40" w:line="252"/>
            </w:pPr>
            <w:r>
              <w:rPr>
                <w:sz w:val="19"/>
                <w:szCs w:val="19"/>
              </w:rPr>
              <w:t xml:space="preserve">Communication</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4</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Préparer une réunion à partir d’un dossier</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Communication</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5</w:t>
            </w:r>
          </w:p>
        </w:tc>
        <w:tc>
          <w:tcPr>
            <w:tcW w:type="dxa" w:w="6000"/>
            <w:tcMar>
              <w:top w:type="dxa" w:w="20"/>
              <w:left w:type="dxa" w:w="110"/>
              <w:bottom w:type="dxa" w:w="20"/>
              <w:right w:type="dxa" w:w="110"/>
            </w:tcMar>
          </w:tcPr>
          <w:p>
            <w:pPr>
              <w:spacing w:after="40" w:line="252"/>
            </w:pPr>
            <w:r>
              <w:rPr>
                <w:sz w:val="19"/>
                <w:szCs w:val="19"/>
              </w:rPr>
              <w:t xml:space="preserve">Traduire un document juridique avec glossaire</w:t>
            </w:r>
          </w:p>
        </w:tc>
        <w:tc>
          <w:tcPr>
            <w:tcW w:type="dxa" w:w="2900"/>
            <w:tcMar>
              <w:top w:type="dxa" w:w="20"/>
              <w:left w:type="dxa" w:w="110"/>
              <w:bottom w:type="dxa" w:w="20"/>
              <w:right w:type="dxa" w:w="110"/>
            </w:tcMar>
          </w:tcPr>
          <w:p>
            <w:pPr>
              <w:spacing w:after="40" w:line="252"/>
            </w:pPr>
            <w:r>
              <w:rPr>
                <w:sz w:val="19"/>
                <w:szCs w:val="19"/>
              </w:rPr>
              <w:t xml:space="preserve">Rédaction</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6</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Transformer une note juridique en message pour la direction</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Communication</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7</w:t>
            </w:r>
          </w:p>
        </w:tc>
        <w:tc>
          <w:tcPr>
            <w:tcW w:type="dxa" w:w="6000"/>
            <w:tcMar>
              <w:top w:type="dxa" w:w="20"/>
              <w:left w:type="dxa" w:w="110"/>
              <w:bottom w:type="dxa" w:w="20"/>
              <w:right w:type="dxa" w:w="110"/>
            </w:tcMar>
          </w:tcPr>
          <w:p>
            <w:pPr>
              <w:spacing w:after="40" w:line="252"/>
            </w:pPr>
            <w:r>
              <w:rPr>
                <w:sz w:val="19"/>
                <w:szCs w:val="19"/>
              </w:rPr>
              <w:t xml:space="preserve">Produire une FAQ interne à partir d’une politique</w:t>
            </w:r>
          </w:p>
        </w:tc>
        <w:tc>
          <w:tcPr>
            <w:tcW w:type="dxa" w:w="2900"/>
            <w:tcMar>
              <w:top w:type="dxa" w:w="20"/>
              <w:left w:type="dxa" w:w="110"/>
              <w:bottom w:type="dxa" w:w="20"/>
              <w:right w:type="dxa" w:w="110"/>
            </w:tcMar>
          </w:tcPr>
          <w:p>
            <w:pPr>
              <w:spacing w:after="40" w:line="252"/>
            </w:pPr>
            <w:r>
              <w:rPr>
                <w:sz w:val="19"/>
                <w:szCs w:val="19"/>
              </w:rPr>
              <w:t xml:space="preserve">Risques et conformité</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8</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Se faire expliquer un régime ou un concept inconnu</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Recherche juridique</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9</w:t>
            </w:r>
          </w:p>
        </w:tc>
        <w:tc>
          <w:tcPr>
            <w:tcW w:type="dxa" w:w="6000"/>
            <w:tcMar>
              <w:top w:type="dxa" w:w="20"/>
              <w:left w:type="dxa" w:w="110"/>
              <w:bottom w:type="dxa" w:w="20"/>
              <w:right w:type="dxa" w:w="110"/>
            </w:tcMar>
          </w:tcPr>
          <w:p>
            <w:pPr>
              <w:spacing w:after="40" w:line="252"/>
            </w:pPr>
            <w:r>
              <w:rPr>
                <w:sz w:val="19"/>
                <w:szCs w:val="19"/>
              </w:rPr>
              <w:t xml:space="preserve">Relire et corriger un projet de courrier ou de contrat</w:t>
            </w:r>
          </w:p>
        </w:tc>
        <w:tc>
          <w:tcPr>
            <w:tcW w:type="dxa" w:w="2900"/>
            <w:tcMar>
              <w:top w:type="dxa" w:w="20"/>
              <w:left w:type="dxa" w:w="110"/>
              <w:bottom w:type="dxa" w:w="20"/>
              <w:right w:type="dxa" w:w="110"/>
            </w:tcMar>
          </w:tcPr>
          <w:p>
            <w:pPr>
              <w:spacing w:after="40" w:line="252"/>
            </w:pPr>
            <w:r>
              <w:rPr>
                <w:sz w:val="19"/>
                <w:szCs w:val="19"/>
              </w:rPr>
              <w:t xml:space="preserve">Rédaction</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10</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Extraire actions et délais d’un fil d’emails</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Analyse contractuelle</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11</w:t>
            </w:r>
          </w:p>
        </w:tc>
        <w:tc>
          <w:tcPr>
            <w:tcW w:type="dxa" w:w="6000"/>
            <w:tcMar>
              <w:top w:type="dxa" w:w="20"/>
              <w:left w:type="dxa" w:w="110"/>
              <w:bottom w:type="dxa" w:w="20"/>
              <w:right w:type="dxa" w:w="110"/>
            </w:tcMar>
          </w:tcPr>
          <w:p>
            <w:pPr>
              <w:spacing w:after="40" w:line="252"/>
            </w:pPr>
            <w:r>
              <w:rPr>
                <w:sz w:val="19"/>
                <w:szCs w:val="19"/>
              </w:rPr>
              <w:t xml:space="preserve">Extraire les clauses clés d’un contrat en tableau</w:t>
            </w:r>
          </w:p>
        </w:tc>
        <w:tc>
          <w:tcPr>
            <w:tcW w:type="dxa" w:w="2900"/>
            <w:tcMar>
              <w:top w:type="dxa" w:w="20"/>
              <w:left w:type="dxa" w:w="110"/>
              <w:bottom w:type="dxa" w:w="20"/>
              <w:right w:type="dxa" w:w="110"/>
            </w:tcMar>
          </w:tcPr>
          <w:p>
            <w:pPr>
              <w:spacing w:after="40" w:line="252"/>
            </w:pPr>
            <w:r>
              <w:rPr>
                <w:sz w:val="19"/>
                <w:szCs w:val="19"/>
              </w:rPr>
              <w:t xml:space="preserve">Analyse contractuelle</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12</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Analyser un contrat contre le playbook</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Analyse contractuelle</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13</w:t>
            </w:r>
          </w:p>
        </w:tc>
        <w:tc>
          <w:tcPr>
            <w:tcW w:type="dxa" w:w="6000"/>
            <w:tcMar>
              <w:top w:type="dxa" w:w="20"/>
              <w:left w:type="dxa" w:w="110"/>
              <w:bottom w:type="dxa" w:w="20"/>
              <w:right w:type="dxa" w:w="110"/>
            </w:tcMar>
          </w:tcPr>
          <w:p>
            <w:pPr>
              <w:spacing w:after="40" w:line="252"/>
            </w:pPr>
            <w:r>
              <w:rPr>
                <w:sz w:val="19"/>
                <w:szCs w:val="19"/>
              </w:rPr>
              <w:t xml:space="preserve">Comparer deux versions d’un contrat</w:t>
            </w:r>
          </w:p>
        </w:tc>
        <w:tc>
          <w:tcPr>
            <w:tcW w:type="dxa" w:w="2900"/>
            <w:tcMar>
              <w:top w:type="dxa" w:w="20"/>
              <w:left w:type="dxa" w:w="110"/>
              <w:bottom w:type="dxa" w:w="20"/>
              <w:right w:type="dxa" w:w="110"/>
            </w:tcMar>
          </w:tcPr>
          <w:p>
            <w:pPr>
              <w:spacing w:after="40" w:line="252"/>
            </w:pPr>
            <w:r>
              <w:rPr>
                <w:sz w:val="19"/>
                <w:szCs w:val="19"/>
              </w:rPr>
              <w:t xml:space="preserve">Comparaison</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14</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Comparer plusieurs textes ou juridictions sur un point</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Comparaison</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15</w:t>
            </w:r>
          </w:p>
        </w:tc>
        <w:tc>
          <w:tcPr>
            <w:tcW w:type="dxa" w:w="6000"/>
            <w:tcMar>
              <w:top w:type="dxa" w:w="20"/>
              <w:left w:type="dxa" w:w="110"/>
              <w:bottom w:type="dxa" w:w="20"/>
              <w:right w:type="dxa" w:w="110"/>
            </w:tcMar>
          </w:tcPr>
          <w:p>
            <w:pPr>
              <w:spacing w:after="40" w:line="252"/>
            </w:pPr>
            <w:r>
              <w:rPr>
                <w:sz w:val="19"/>
                <w:szCs w:val="19"/>
              </w:rPr>
              <w:t xml:space="preserve">Rédiger une clause en deux variantes</w:t>
            </w:r>
          </w:p>
        </w:tc>
        <w:tc>
          <w:tcPr>
            <w:tcW w:type="dxa" w:w="2900"/>
            <w:tcMar>
              <w:top w:type="dxa" w:w="20"/>
              <w:left w:type="dxa" w:w="110"/>
              <w:bottom w:type="dxa" w:w="20"/>
              <w:right w:type="dxa" w:w="110"/>
            </w:tcMar>
          </w:tcPr>
          <w:p>
            <w:pPr>
              <w:spacing w:after="40" w:line="252"/>
            </w:pPr>
            <w:r>
              <w:rPr>
                <w:sz w:val="19"/>
                <w:szCs w:val="19"/>
              </w:rPr>
              <w:t xml:space="preserve">Rédaction</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16</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Préparer une négociation</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Rédaction</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17</w:t>
            </w:r>
          </w:p>
        </w:tc>
        <w:tc>
          <w:tcPr>
            <w:tcW w:type="dxa" w:w="6000"/>
            <w:tcMar>
              <w:top w:type="dxa" w:w="20"/>
              <w:left w:type="dxa" w:w="110"/>
              <w:bottom w:type="dxa" w:w="20"/>
              <w:right w:type="dxa" w:w="110"/>
            </w:tcMar>
          </w:tcPr>
          <w:p>
            <w:pPr>
              <w:spacing w:after="40" w:line="252"/>
            </w:pPr>
            <w:r>
              <w:rPr>
                <w:sz w:val="19"/>
                <w:szCs w:val="19"/>
              </w:rPr>
              <w:t xml:space="preserve">Bâtir la checklist de conformité d’un nouveau projet</w:t>
            </w:r>
          </w:p>
        </w:tc>
        <w:tc>
          <w:tcPr>
            <w:tcW w:type="dxa" w:w="2900"/>
            <w:tcMar>
              <w:top w:type="dxa" w:w="20"/>
              <w:left w:type="dxa" w:w="110"/>
              <w:bottom w:type="dxa" w:w="20"/>
              <w:right w:type="dxa" w:w="110"/>
            </w:tcMar>
          </w:tcPr>
          <w:p>
            <w:pPr>
              <w:spacing w:after="40" w:line="252"/>
            </w:pPr>
            <w:r>
              <w:rPr>
                <w:sz w:val="19"/>
                <w:szCs w:val="19"/>
              </w:rPr>
              <w:t xml:space="preserve">Risques et conformité</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18</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Contrôler une communication marketing</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Risques et conformité</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19</w:t>
            </w:r>
          </w:p>
        </w:tc>
        <w:tc>
          <w:tcPr>
            <w:tcW w:type="dxa" w:w="6000"/>
            <w:tcMar>
              <w:top w:type="dxa" w:w="20"/>
              <w:left w:type="dxa" w:w="110"/>
              <w:bottom w:type="dxa" w:w="20"/>
              <w:right w:type="dxa" w:w="110"/>
            </w:tcMar>
          </w:tcPr>
          <w:p>
            <w:pPr>
              <w:spacing w:after="40" w:line="252"/>
            </w:pPr>
            <w:r>
              <w:rPr>
                <w:sz w:val="19"/>
                <w:szCs w:val="19"/>
              </w:rPr>
              <w:t xml:space="preserve">Revoir les CGU ou la politique de confidentialité d’un fournisseur</w:t>
            </w:r>
          </w:p>
        </w:tc>
        <w:tc>
          <w:tcPr>
            <w:tcW w:type="dxa" w:w="2900"/>
            <w:tcMar>
              <w:top w:type="dxa" w:w="20"/>
              <w:left w:type="dxa" w:w="110"/>
              <w:bottom w:type="dxa" w:w="20"/>
              <w:right w:type="dxa" w:w="110"/>
            </w:tcMar>
          </w:tcPr>
          <w:p>
            <w:pPr>
              <w:spacing w:after="40" w:line="252"/>
            </w:pPr>
            <w:r>
              <w:rPr>
                <w:sz w:val="19"/>
                <w:szCs w:val="19"/>
              </w:rPr>
              <w:t xml:space="preserve">Analyse contractuelle</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20</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Rédiger un mémo structuré à partir de sources vérifiées</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Rédaction</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21</w:t>
            </w:r>
          </w:p>
        </w:tc>
        <w:tc>
          <w:tcPr>
            <w:tcW w:type="dxa" w:w="6000"/>
            <w:tcMar>
              <w:top w:type="dxa" w:w="20"/>
              <w:left w:type="dxa" w:w="110"/>
              <w:bottom w:type="dxa" w:w="20"/>
              <w:right w:type="dxa" w:w="110"/>
            </w:tcMar>
          </w:tcPr>
          <w:p>
            <w:pPr>
              <w:spacing w:after="40" w:line="252"/>
            </w:pPr>
            <w:r>
              <w:rPr>
                <w:sz w:val="19"/>
                <w:szCs w:val="19"/>
              </w:rPr>
              <w:t xml:space="preserve">Structurer une veille à partir de textes collés</w:t>
            </w:r>
          </w:p>
        </w:tc>
        <w:tc>
          <w:tcPr>
            <w:tcW w:type="dxa" w:w="2900"/>
            <w:tcMar>
              <w:top w:type="dxa" w:w="20"/>
              <w:left w:type="dxa" w:w="110"/>
              <w:bottom w:type="dxa" w:w="20"/>
              <w:right w:type="dxa" w:w="110"/>
            </w:tcMar>
          </w:tcPr>
          <w:p>
            <w:pPr>
              <w:spacing w:after="40" w:line="252"/>
            </w:pPr>
            <w:r>
              <w:rPr>
                <w:sz w:val="19"/>
                <w:szCs w:val="19"/>
              </w:rPr>
              <w:t xml:space="preserve">Recherche juridique</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22</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Cartographier les risques d’un dossier</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Risques et conformité</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23</w:t>
            </w:r>
          </w:p>
        </w:tc>
        <w:tc>
          <w:tcPr>
            <w:tcW w:type="dxa" w:w="6000"/>
            <w:tcMar>
              <w:top w:type="dxa" w:w="20"/>
              <w:left w:type="dxa" w:w="110"/>
              <w:bottom w:type="dxa" w:w="20"/>
              <w:right w:type="dxa" w:w="110"/>
            </w:tcMar>
          </w:tcPr>
          <w:p>
            <w:pPr>
              <w:spacing w:after="40" w:line="252"/>
            </w:pPr>
            <w:r>
              <w:rPr>
                <w:sz w:val="19"/>
                <w:szCs w:val="19"/>
              </w:rPr>
              <w:t xml:space="preserve">Son assistant playbook contractuel</w:t>
            </w:r>
          </w:p>
        </w:tc>
        <w:tc>
          <w:tcPr>
            <w:tcW w:type="dxa" w:w="2900"/>
            <w:tcMar>
              <w:top w:type="dxa" w:w="20"/>
              <w:left w:type="dxa" w:w="110"/>
              <w:bottom w:type="dxa" w:w="20"/>
              <w:right w:type="dxa" w:w="110"/>
            </w:tcMar>
          </w:tcPr>
          <w:p>
            <w:pPr>
              <w:spacing w:after="40" w:line="252"/>
            </w:pPr>
            <w:r>
              <w:rPr>
                <w:sz w:val="19"/>
                <w:szCs w:val="19"/>
              </w:rPr>
              <w:t xml:space="preserve">Analyse contractuelle</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24</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Vigie réglementaire hebdomadaire</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Recherche juridique</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25</w:t>
            </w:r>
          </w:p>
        </w:tc>
        <w:tc>
          <w:tcPr>
            <w:tcW w:type="dxa" w:w="6000"/>
            <w:tcMar>
              <w:top w:type="dxa" w:w="20"/>
              <w:left w:type="dxa" w:w="110"/>
              <w:bottom w:type="dxa" w:w="20"/>
              <w:right w:type="dxa" w:w="110"/>
            </w:tcMar>
          </w:tcPr>
          <w:p>
            <w:pPr>
              <w:spacing w:after="40" w:line="252"/>
            </w:pPr>
            <w:r>
              <w:rPr>
                <w:sz w:val="19"/>
                <w:szCs w:val="19"/>
              </w:rPr>
              <w:t xml:space="preserve">Vigie des délais contractuels et contentieux</w:t>
            </w:r>
          </w:p>
        </w:tc>
        <w:tc>
          <w:tcPr>
            <w:tcW w:type="dxa" w:w="2900"/>
            <w:tcMar>
              <w:top w:type="dxa" w:w="20"/>
              <w:left w:type="dxa" w:w="110"/>
              <w:bottom w:type="dxa" w:w="20"/>
              <w:right w:type="dxa" w:w="110"/>
            </w:tcMar>
          </w:tcPr>
          <w:p>
            <w:pPr>
              <w:spacing w:after="40" w:line="252"/>
            </w:pPr>
            <w:r>
              <w:rPr>
                <w:sz w:val="19"/>
                <w:szCs w:val="19"/>
              </w:rPr>
              <w:t xml:space="preserve">Analyse contractuelle</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26</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Assistant de premier niveau pour les opérationnels</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Communication</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27</w:t>
            </w:r>
          </w:p>
        </w:tc>
        <w:tc>
          <w:tcPr>
            <w:tcW w:type="dxa" w:w="6000"/>
            <w:tcMar>
              <w:top w:type="dxa" w:w="20"/>
              <w:left w:type="dxa" w:w="110"/>
              <w:bottom w:type="dxa" w:w="20"/>
              <w:right w:type="dxa" w:w="110"/>
            </w:tcMar>
          </w:tcPr>
          <w:p>
            <w:pPr>
              <w:spacing w:after="40" w:line="252"/>
            </w:pPr>
            <w:r>
              <w:rPr>
                <w:sz w:val="19"/>
                <w:szCs w:val="19"/>
              </w:rPr>
              <w:t xml:space="preserve">Générateur de trames depuis la base de modèles</w:t>
            </w:r>
          </w:p>
        </w:tc>
        <w:tc>
          <w:tcPr>
            <w:tcW w:type="dxa" w:w="2900"/>
            <w:tcMar>
              <w:top w:type="dxa" w:w="20"/>
              <w:left w:type="dxa" w:w="110"/>
              <w:bottom w:type="dxa" w:w="20"/>
              <w:right w:type="dxa" w:w="110"/>
            </w:tcMar>
          </w:tcPr>
          <w:p>
            <w:pPr>
              <w:spacing w:after="40" w:line="252"/>
            </w:pPr>
            <w:r>
              <w:rPr>
                <w:sz w:val="19"/>
                <w:szCs w:val="19"/>
              </w:rPr>
              <w:t xml:space="preserve">Rédaction</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28</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Orchestrer une revue contractuelle de bout en bout</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Analyse contractuelle</w:t>
            </w:r>
          </w:p>
        </w:tc>
      </w:tr>
      <w:tr>
        <w:trPr>
          <w:cantSplit/>
          <w:tblHeader w:val="false"/>
        </w:trPr>
        <w:tc>
          <w:tcPr>
            <w:tcW w:type="dxa" w:w="700"/>
            <w:tcMar>
              <w:top w:type="dxa" w:w="20"/>
              <w:left w:type="dxa" w:w="110"/>
              <w:bottom w:type="dxa" w:w="20"/>
              <w:right w:type="dxa" w:w="110"/>
            </w:tcMar>
          </w:tcPr>
          <w:p>
            <w:pPr>
              <w:spacing w:after="40" w:line="252"/>
            </w:pPr>
            <w:r>
              <w:rPr>
                <w:sz w:val="19"/>
                <w:szCs w:val="19"/>
              </w:rPr>
              <w:t xml:space="preserve">29</w:t>
            </w:r>
          </w:p>
        </w:tc>
        <w:tc>
          <w:tcPr>
            <w:tcW w:type="dxa" w:w="6000"/>
            <w:tcMar>
              <w:top w:type="dxa" w:w="20"/>
              <w:left w:type="dxa" w:w="110"/>
              <w:bottom w:type="dxa" w:w="20"/>
              <w:right w:type="dxa" w:w="110"/>
            </w:tcMar>
          </w:tcPr>
          <w:p>
            <w:pPr>
              <w:spacing w:after="40" w:line="252"/>
            </w:pPr>
            <w:r>
              <w:rPr>
                <w:sz w:val="19"/>
                <w:szCs w:val="19"/>
              </w:rPr>
              <w:t xml:space="preserve">Analyse en masse d’un portefeuille de contrats</w:t>
            </w:r>
          </w:p>
        </w:tc>
        <w:tc>
          <w:tcPr>
            <w:tcW w:type="dxa" w:w="2900"/>
            <w:tcMar>
              <w:top w:type="dxa" w:w="20"/>
              <w:left w:type="dxa" w:w="110"/>
              <w:bottom w:type="dxa" w:w="20"/>
              <w:right w:type="dxa" w:w="110"/>
            </w:tcMar>
          </w:tcPr>
          <w:p>
            <w:pPr>
              <w:spacing w:after="40" w:line="252"/>
            </w:pPr>
            <w:r>
              <w:rPr>
                <w:sz w:val="19"/>
                <w:szCs w:val="19"/>
              </w:rPr>
              <w:t xml:space="preserve">Comparaison</w:t>
            </w:r>
          </w:p>
        </w:tc>
      </w:tr>
      <w:tr>
        <w:trPr>
          <w:cantSplit/>
          <w:tblHeader w:val="false"/>
        </w:trPr>
        <w:tc>
          <w:tcPr>
            <w:tcW w:type="dxa" w:w="700"/>
            <w:shd w:fill="F2F6FA" w:color="auto" w:val="clear"/>
            <w:tcMar>
              <w:top w:type="dxa" w:w="20"/>
              <w:left w:type="dxa" w:w="110"/>
              <w:bottom w:type="dxa" w:w="20"/>
              <w:right w:type="dxa" w:w="110"/>
            </w:tcMar>
          </w:tcPr>
          <w:p>
            <w:pPr>
              <w:spacing w:after="40" w:line="252"/>
            </w:pPr>
            <w:r>
              <w:rPr>
                <w:sz w:val="19"/>
                <w:szCs w:val="19"/>
              </w:rPr>
              <w:t xml:space="preserve">30</w:t>
            </w:r>
          </w:p>
        </w:tc>
        <w:tc>
          <w:tcPr>
            <w:tcW w:type="dxa" w:w="6000"/>
            <w:shd w:fill="F2F6FA" w:color="auto" w:val="clear"/>
            <w:tcMar>
              <w:top w:type="dxa" w:w="20"/>
              <w:left w:type="dxa" w:w="110"/>
              <w:bottom w:type="dxa" w:w="20"/>
              <w:right w:type="dxa" w:w="110"/>
            </w:tcMar>
          </w:tcPr>
          <w:p>
            <w:pPr>
              <w:spacing w:after="40" w:line="252"/>
            </w:pPr>
            <w:r>
              <w:rPr>
                <w:sz w:val="19"/>
                <w:szCs w:val="19"/>
              </w:rPr>
              <w:t xml:space="preserve">Préparer un dossier contentieux à partir d’un corpus</w:t>
            </w:r>
          </w:p>
        </w:tc>
        <w:tc>
          <w:tcPr>
            <w:tcW w:type="dxa" w:w="2900"/>
            <w:shd w:fill="F2F6FA" w:color="auto" w:val="clear"/>
            <w:tcMar>
              <w:top w:type="dxa" w:w="20"/>
              <w:left w:type="dxa" w:w="110"/>
              <w:bottom w:type="dxa" w:w="20"/>
              <w:right w:type="dxa" w:w="110"/>
            </w:tcMar>
          </w:tcPr>
          <w:p>
            <w:pPr>
              <w:spacing w:after="40" w:line="252"/>
            </w:pPr>
            <w:r>
              <w:rPr>
                <w:sz w:val="19"/>
                <w:szCs w:val="19"/>
              </w:rPr>
              <w:t xml:space="preserve">Risques et conformité</w:t>
            </w:r>
          </w:p>
        </w:tc>
      </w:tr>
    </w:tbl>
    <w:p>
      <w:pPr>
        <w:spacing w:after="200"/>
      </w:pPr>
    </w:p>
    <w:p>
      <w:pPr>
        <w:pStyle w:val="Heading2"/>
      </w:pPr>
      <w:r>
        <w:t xml:space="preserve">Entrer par le besoin : index par famille</w:t>
      </w:r>
    </w:p>
    <w:p>
      <w:pPr>
        <w:spacing w:after="100" w:line="264"/>
      </w:pPr>
      <w:r>
        <w:t xml:space="preserve">Les six familles sont celles de la formation NextStart pour les juristes. Chaque case renvoie aux numéros de fiches : commencez par la famille qui pèse le plus dans votre semaine, puis suivez la progression des niveaux.</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3000"/>
        <w:gridCol w:w="2200"/>
        <w:gridCol w:w="2200"/>
        <w:gridCol w:w="2200"/>
      </w:tblGrid>
      <w:tr>
        <w:trPr>
          <w:cantSplit/>
          <w:tblHeader/>
        </w:trPr>
        <w:tc>
          <w:tcPr>
            <w:tcW w:type="dxa" w:w="3000"/>
            <w:shd w:fill="10213A" w:color="auto" w:val="clear"/>
            <w:tcMar>
              <w:top w:type="dxa" w:w="70"/>
              <w:left w:type="dxa" w:w="110"/>
              <w:bottom w:type="dxa" w:w="70"/>
              <w:right w:type="dxa" w:w="110"/>
            </w:tcMar>
          </w:tcPr>
          <w:p>
            <w:pPr>
              <w:spacing w:after="40" w:line="252"/>
            </w:pPr>
            <w:r>
              <w:rPr>
                <w:b/>
                <w:bCs/>
                <w:color w:val="FFFFFF"/>
                <w:sz w:val="19"/>
                <w:szCs w:val="19"/>
              </w:rPr>
              <w:t xml:space="preserve">Famille</w:t>
            </w:r>
          </w:p>
        </w:tc>
        <w:tc>
          <w:tcPr>
            <w:tcW w:type="dxa" w:w="2200"/>
            <w:shd w:fill="10213A" w:color="auto" w:val="clear"/>
            <w:tcMar>
              <w:top w:type="dxa" w:w="70"/>
              <w:left w:type="dxa" w:w="110"/>
              <w:bottom w:type="dxa" w:w="70"/>
              <w:right w:type="dxa" w:w="110"/>
            </w:tcMar>
          </w:tcPr>
          <w:p>
            <w:pPr>
              <w:spacing w:after="40" w:line="252"/>
            </w:pPr>
            <w:r>
              <w:rPr>
                <w:b/>
                <w:bCs/>
                <w:color w:val="FFFFFF"/>
                <w:sz w:val="19"/>
                <w:szCs w:val="19"/>
              </w:rPr>
              <w:t xml:space="preserve">Niveau 1</w:t>
            </w:r>
          </w:p>
        </w:tc>
        <w:tc>
          <w:tcPr>
            <w:tcW w:type="dxa" w:w="2200"/>
            <w:shd w:fill="10213A" w:color="auto" w:val="clear"/>
            <w:tcMar>
              <w:top w:type="dxa" w:w="70"/>
              <w:left w:type="dxa" w:w="110"/>
              <w:bottom w:type="dxa" w:w="70"/>
              <w:right w:type="dxa" w:w="110"/>
            </w:tcMar>
          </w:tcPr>
          <w:p>
            <w:pPr>
              <w:spacing w:after="40" w:line="252"/>
            </w:pPr>
            <w:r>
              <w:rPr>
                <w:b/>
                <w:bCs/>
                <w:color w:val="FFFFFF"/>
                <w:sz w:val="19"/>
                <w:szCs w:val="19"/>
              </w:rPr>
              <w:t xml:space="preserve">Niveau 2</w:t>
            </w:r>
          </w:p>
        </w:tc>
        <w:tc>
          <w:tcPr>
            <w:tcW w:type="dxa" w:w="2200"/>
            <w:shd w:fill="10213A" w:color="auto" w:val="clear"/>
            <w:tcMar>
              <w:top w:type="dxa" w:w="70"/>
              <w:left w:type="dxa" w:w="110"/>
              <w:bottom w:type="dxa" w:w="70"/>
              <w:right w:type="dxa" w:w="110"/>
            </w:tcMar>
          </w:tcPr>
          <w:p>
            <w:pPr>
              <w:spacing w:after="40" w:line="252"/>
            </w:pPr>
            <w:r>
              <w:rPr>
                <w:b/>
                <w:bCs/>
                <w:color w:val="FFFFFF"/>
                <w:sz w:val="19"/>
                <w:szCs w:val="19"/>
              </w:rPr>
              <w:t xml:space="preserve">Niveau 3</w:t>
            </w:r>
          </w:p>
        </w:tc>
      </w:tr>
      <w:tr>
        <w:trPr>
          <w:cantSplit/>
          <w:tblHeader w:val="false"/>
        </w:trPr>
        <w:tc>
          <w:tcPr>
            <w:tcW w:type="dxa" w:w="3000"/>
            <w:tcMar>
              <w:top w:type="dxa" w:w="70"/>
              <w:left w:type="dxa" w:w="110"/>
              <w:bottom w:type="dxa" w:w="70"/>
              <w:right w:type="dxa" w:w="110"/>
            </w:tcMar>
          </w:tcPr>
          <w:p>
            <w:pPr>
              <w:spacing w:after="40" w:line="252"/>
            </w:pPr>
            <w:r>
              <w:rPr>
                <w:b/>
                <w:bCs/>
                <w:sz w:val="19"/>
                <w:szCs w:val="19"/>
              </w:rPr>
              <w:t xml:space="preserve">Analyse contractuelle</w:t>
            </w:r>
          </w:p>
        </w:tc>
        <w:tc>
          <w:tcPr>
            <w:tcW w:type="dxa" w:w="2200"/>
            <w:tcMar>
              <w:top w:type="dxa" w:w="70"/>
              <w:left w:type="dxa" w:w="110"/>
              <w:bottom w:type="dxa" w:w="70"/>
              <w:right w:type="dxa" w:w="110"/>
            </w:tcMar>
          </w:tcPr>
          <w:p>
            <w:pPr>
              <w:spacing w:after="40" w:line="252"/>
            </w:pPr>
            <w:r>
              <w:rPr>
                <w:sz w:val="19"/>
                <w:szCs w:val="19"/>
              </w:rPr>
              <w:t xml:space="preserve">10</w:t>
            </w:r>
          </w:p>
        </w:tc>
        <w:tc>
          <w:tcPr>
            <w:tcW w:type="dxa" w:w="2200"/>
            <w:tcMar>
              <w:top w:type="dxa" w:w="70"/>
              <w:left w:type="dxa" w:w="110"/>
              <w:bottom w:type="dxa" w:w="70"/>
              <w:right w:type="dxa" w:w="110"/>
            </w:tcMar>
          </w:tcPr>
          <w:p>
            <w:pPr>
              <w:spacing w:after="40" w:line="252"/>
            </w:pPr>
            <w:r>
              <w:rPr>
                <w:sz w:val="19"/>
                <w:szCs w:val="19"/>
              </w:rPr>
              <w:t xml:space="preserve">11, 12, 19</w:t>
            </w:r>
          </w:p>
        </w:tc>
        <w:tc>
          <w:tcPr>
            <w:tcW w:type="dxa" w:w="2200"/>
            <w:tcMar>
              <w:top w:type="dxa" w:w="70"/>
              <w:left w:type="dxa" w:w="110"/>
              <w:bottom w:type="dxa" w:w="70"/>
              <w:right w:type="dxa" w:w="110"/>
            </w:tcMar>
          </w:tcPr>
          <w:p>
            <w:pPr>
              <w:spacing w:after="40" w:line="252"/>
            </w:pPr>
            <w:r>
              <w:rPr>
                <w:sz w:val="19"/>
                <w:szCs w:val="19"/>
              </w:rPr>
              <w:t xml:space="preserve">23, 25, 28</w:t>
            </w:r>
          </w:p>
        </w:tc>
      </w:tr>
      <w:tr>
        <w:trPr>
          <w:cantSplit/>
          <w:tblHeader w:val="false"/>
        </w:trPr>
        <w:tc>
          <w:tcPr>
            <w:tcW w:type="dxa" w:w="3000"/>
            <w:shd w:fill="F2F6FA" w:color="auto" w:val="clear"/>
            <w:tcMar>
              <w:top w:type="dxa" w:w="70"/>
              <w:left w:type="dxa" w:w="110"/>
              <w:bottom w:type="dxa" w:w="70"/>
              <w:right w:type="dxa" w:w="110"/>
            </w:tcMar>
          </w:tcPr>
          <w:p>
            <w:pPr>
              <w:spacing w:after="40" w:line="252"/>
            </w:pPr>
            <w:r>
              <w:rPr>
                <w:b/>
                <w:bCs/>
                <w:sz w:val="19"/>
                <w:szCs w:val="19"/>
              </w:rPr>
              <w:t xml:space="preserve">Comparaison</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13, 14</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29</w:t>
            </w:r>
          </w:p>
        </w:tc>
      </w:tr>
      <w:tr>
        <w:trPr>
          <w:cantSplit/>
          <w:tblHeader w:val="false"/>
        </w:trPr>
        <w:tc>
          <w:tcPr>
            <w:tcW w:type="dxa" w:w="3000"/>
            <w:tcMar>
              <w:top w:type="dxa" w:w="70"/>
              <w:left w:type="dxa" w:w="110"/>
              <w:bottom w:type="dxa" w:w="70"/>
              <w:right w:type="dxa" w:w="110"/>
            </w:tcMar>
          </w:tcPr>
          <w:p>
            <w:pPr>
              <w:spacing w:after="40" w:line="252"/>
            </w:pPr>
            <w:r>
              <w:rPr>
                <w:b/>
                <w:bCs/>
                <w:sz w:val="19"/>
                <w:szCs w:val="19"/>
              </w:rPr>
              <w:t xml:space="preserve">Rédaction</w:t>
            </w:r>
          </w:p>
        </w:tc>
        <w:tc>
          <w:tcPr>
            <w:tcW w:type="dxa" w:w="2200"/>
            <w:tcMar>
              <w:top w:type="dxa" w:w="70"/>
              <w:left w:type="dxa" w:w="110"/>
              <w:bottom w:type="dxa" w:w="70"/>
              <w:right w:type="dxa" w:w="110"/>
            </w:tcMar>
          </w:tcPr>
          <w:p>
            <w:pPr>
              <w:spacing w:after="40" w:line="252"/>
            </w:pPr>
            <w:r>
              <w:rPr>
                <w:sz w:val="19"/>
                <w:szCs w:val="19"/>
              </w:rPr>
              <w:t xml:space="preserve">5, 9</w:t>
            </w:r>
          </w:p>
        </w:tc>
        <w:tc>
          <w:tcPr>
            <w:tcW w:type="dxa" w:w="2200"/>
            <w:tcMar>
              <w:top w:type="dxa" w:w="70"/>
              <w:left w:type="dxa" w:w="110"/>
              <w:bottom w:type="dxa" w:w="70"/>
              <w:right w:type="dxa" w:w="110"/>
            </w:tcMar>
          </w:tcPr>
          <w:p>
            <w:pPr>
              <w:spacing w:after="40" w:line="252"/>
            </w:pPr>
            <w:r>
              <w:rPr>
                <w:sz w:val="19"/>
                <w:szCs w:val="19"/>
              </w:rPr>
              <w:t xml:space="preserve">15, 16, 20</w:t>
            </w:r>
          </w:p>
        </w:tc>
        <w:tc>
          <w:tcPr>
            <w:tcW w:type="dxa" w:w="2200"/>
            <w:tcMar>
              <w:top w:type="dxa" w:w="70"/>
              <w:left w:type="dxa" w:w="110"/>
              <w:bottom w:type="dxa" w:w="70"/>
              <w:right w:type="dxa" w:w="110"/>
            </w:tcMar>
          </w:tcPr>
          <w:p>
            <w:pPr>
              <w:spacing w:after="40" w:line="252"/>
            </w:pPr>
            <w:r>
              <w:rPr>
                <w:sz w:val="19"/>
                <w:szCs w:val="19"/>
              </w:rPr>
              <w:t xml:space="preserve">27</w:t>
            </w:r>
          </w:p>
        </w:tc>
      </w:tr>
      <w:tr>
        <w:trPr>
          <w:cantSplit/>
          <w:tblHeader w:val="false"/>
        </w:trPr>
        <w:tc>
          <w:tcPr>
            <w:tcW w:type="dxa" w:w="3000"/>
            <w:shd w:fill="F2F6FA" w:color="auto" w:val="clear"/>
            <w:tcMar>
              <w:top w:type="dxa" w:w="70"/>
              <w:left w:type="dxa" w:w="110"/>
              <w:bottom w:type="dxa" w:w="70"/>
              <w:right w:type="dxa" w:w="110"/>
            </w:tcMar>
          </w:tcPr>
          <w:p>
            <w:pPr>
              <w:spacing w:after="40" w:line="252"/>
            </w:pPr>
            <w:r>
              <w:rPr>
                <w:b/>
                <w:bCs/>
                <w:sz w:val="19"/>
                <w:szCs w:val="19"/>
              </w:rPr>
              <w:t xml:space="preserve">Risques et conformité</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7</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17, 18, 22</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30</w:t>
            </w:r>
          </w:p>
        </w:tc>
      </w:tr>
      <w:tr>
        <w:trPr>
          <w:cantSplit/>
          <w:tblHeader w:val="false"/>
        </w:trPr>
        <w:tc>
          <w:tcPr>
            <w:tcW w:type="dxa" w:w="3000"/>
            <w:tcMar>
              <w:top w:type="dxa" w:w="70"/>
              <w:left w:type="dxa" w:w="110"/>
              <w:bottom w:type="dxa" w:w="70"/>
              <w:right w:type="dxa" w:w="110"/>
            </w:tcMar>
          </w:tcPr>
          <w:p>
            <w:pPr>
              <w:spacing w:after="40" w:line="252"/>
            </w:pPr>
            <w:r>
              <w:rPr>
                <w:b/>
                <w:bCs/>
                <w:sz w:val="19"/>
                <w:szCs w:val="19"/>
              </w:rPr>
              <w:t xml:space="preserve">Recherche juridique</w:t>
            </w:r>
          </w:p>
        </w:tc>
        <w:tc>
          <w:tcPr>
            <w:tcW w:type="dxa" w:w="2200"/>
            <w:tcMar>
              <w:top w:type="dxa" w:w="70"/>
              <w:left w:type="dxa" w:w="110"/>
              <w:bottom w:type="dxa" w:w="70"/>
              <w:right w:type="dxa" w:w="110"/>
            </w:tcMar>
          </w:tcPr>
          <w:p>
            <w:pPr>
              <w:spacing w:after="40" w:line="252"/>
            </w:pPr>
            <w:r>
              <w:rPr>
                <w:sz w:val="19"/>
                <w:szCs w:val="19"/>
              </w:rPr>
              <w:t xml:space="preserve">1, 8</w:t>
            </w:r>
          </w:p>
        </w:tc>
        <w:tc>
          <w:tcPr>
            <w:tcW w:type="dxa" w:w="2200"/>
            <w:tcMar>
              <w:top w:type="dxa" w:w="70"/>
              <w:left w:type="dxa" w:w="110"/>
              <w:bottom w:type="dxa" w:w="70"/>
              <w:right w:type="dxa" w:w="110"/>
            </w:tcMar>
          </w:tcPr>
          <w:p>
            <w:pPr>
              <w:spacing w:after="40" w:line="252"/>
            </w:pPr>
            <w:r>
              <w:rPr>
                <w:sz w:val="19"/>
                <w:szCs w:val="19"/>
              </w:rPr>
              <w:t xml:space="preserve">21</w:t>
            </w:r>
          </w:p>
        </w:tc>
        <w:tc>
          <w:tcPr>
            <w:tcW w:type="dxa" w:w="2200"/>
            <w:tcMar>
              <w:top w:type="dxa" w:w="70"/>
              <w:left w:type="dxa" w:w="110"/>
              <w:bottom w:type="dxa" w:w="70"/>
              <w:right w:type="dxa" w:w="110"/>
            </w:tcMar>
          </w:tcPr>
          <w:p>
            <w:pPr>
              <w:spacing w:after="40" w:line="252"/>
            </w:pPr>
            <w:r>
              <w:rPr>
                <w:sz w:val="19"/>
                <w:szCs w:val="19"/>
              </w:rPr>
              <w:t xml:space="preserve">24</w:t>
            </w:r>
          </w:p>
        </w:tc>
      </w:tr>
      <w:tr>
        <w:trPr>
          <w:cantSplit/>
          <w:tblHeader w:val="false"/>
        </w:trPr>
        <w:tc>
          <w:tcPr>
            <w:tcW w:type="dxa" w:w="3000"/>
            <w:shd w:fill="F2F6FA" w:color="auto" w:val="clear"/>
            <w:tcMar>
              <w:top w:type="dxa" w:w="70"/>
              <w:left w:type="dxa" w:w="110"/>
              <w:bottom w:type="dxa" w:w="70"/>
              <w:right w:type="dxa" w:w="110"/>
            </w:tcMar>
          </w:tcPr>
          <w:p>
            <w:pPr>
              <w:spacing w:after="40" w:line="252"/>
            </w:pPr>
            <w:r>
              <w:rPr>
                <w:b/>
                <w:bCs/>
                <w:sz w:val="19"/>
                <w:szCs w:val="19"/>
              </w:rPr>
              <w:t xml:space="preserve">Communication</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2, 3, 4, 6</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w:t>
            </w:r>
          </w:p>
        </w:tc>
        <w:tc>
          <w:tcPr>
            <w:tcW w:type="dxa" w:w="2200"/>
            <w:shd w:fill="F2F6FA" w:color="auto" w:val="clear"/>
            <w:tcMar>
              <w:top w:type="dxa" w:w="70"/>
              <w:left w:type="dxa" w:w="110"/>
              <w:bottom w:type="dxa" w:w="70"/>
              <w:right w:type="dxa" w:w="110"/>
            </w:tcMar>
          </w:tcPr>
          <w:p>
            <w:pPr>
              <w:spacing w:after="40" w:line="252"/>
            </w:pPr>
            <w:r>
              <w:rPr>
                <w:sz w:val="19"/>
                <w:szCs w:val="19"/>
              </w:rPr>
              <w:t xml:space="preserve">26</w:t>
            </w:r>
          </w:p>
        </w:tc>
      </w:tr>
    </w:tbl>
    <w:p>
      <w:pPr>
        <w:spacing w:after="200"/>
      </w:pPr>
    </w:p>
    <w:p>
      <w:pPr>
        <w:pStyle w:val="Heading2"/>
      </w:pPr>
      <w:r>
        <w:t xml:space="preserve">Comment lire une fiche</w:t>
      </w:r>
    </w:p>
    <w:p>
      <w:pPr>
        <w:spacing w:after="100" w:line="264"/>
      </w:pPr>
      <w:r>
        <w:t xml:space="preserve">Toutes les fiches suivent le même plan, pour que vous sachiez toujours où regarder.</w:t>
      </w:r>
    </w:p>
    <w:p>
      <w:pPr>
        <w:pStyle w:val="ListParagraph"/>
        <w:numPr>
          <w:ilvl w:val="0"/>
          <w:numId w:val="2"/>
        </w:numPr>
        <w:spacing w:after="60" w:line="264"/>
      </w:pPr>
      <w:r>
        <w:rPr>
          <w:b/>
          <w:bCs/>
        </w:rPr>
        <w:t xml:space="preserve">La situation</w:t>
      </w:r>
      <w:r>
        <w:t xml:space="preserve"> : une phrase du quotidien, celle qui vous fait ouvrir la fiche.</w:t>
      </w:r>
    </w:p>
    <w:p>
      <w:pPr>
        <w:pStyle w:val="ListParagraph"/>
        <w:numPr>
          <w:ilvl w:val="0"/>
          <w:numId w:val="2"/>
        </w:numPr>
        <w:spacing w:after="60" w:line="264"/>
      </w:pPr>
      <w:r>
        <w:rPr>
          <w:b/>
          <w:bCs/>
        </w:rPr>
        <w:t xml:space="preserve">Ce que l’IA fait bien ici, ce qu’elle ne fait pas</w:t>
      </w:r>
      <w:r>
        <w:t xml:space="preserve"> : les deux colonnes qui évitent la déception et l’excès de confiance.</w:t>
      </w:r>
    </w:p>
    <w:p>
      <w:pPr>
        <w:pStyle w:val="ListParagraph"/>
        <w:numPr>
          <w:ilvl w:val="0"/>
          <w:numId w:val="2"/>
        </w:numPr>
        <w:spacing w:after="60" w:line="264"/>
      </w:pPr>
      <w:r>
        <w:rPr>
          <w:b/>
          <w:bCs/>
        </w:rPr>
        <w:t xml:space="preserve">À ne pas coller dans l’outil</w:t>
      </w:r>
      <w:r>
        <w:t xml:space="preserve"> : la règle de confidentialité propre à ce cas, et comment pseudonymiser.</w:t>
      </w:r>
    </w:p>
    <w:p>
      <w:pPr>
        <w:pStyle w:val="ListParagraph"/>
        <w:numPr>
          <w:ilvl w:val="0"/>
          <w:numId w:val="2"/>
        </w:numPr>
        <w:spacing w:after="60" w:line="264"/>
      </w:pPr>
      <w:r>
        <w:rPr>
          <w:b/>
          <w:bCs/>
        </w:rPr>
        <w:t xml:space="preserve">Le prompt</w:t>
      </w:r>
      <w:r>
        <w:t xml:space="preserve"> : à copier tel quel dans Copilot, ChatGPT, Claude, Gemini, Mistral ou votre LLM interne. Les champs surlignés en jaune sont à remplacer par vos éléments.</w:t>
      </w:r>
    </w:p>
    <w:p>
      <w:pPr>
        <w:pStyle w:val="ListParagraph"/>
        <w:numPr>
          <w:ilvl w:val="0"/>
          <w:numId w:val="2"/>
        </w:numPr>
        <w:spacing w:after="60" w:line="264"/>
      </w:pPr>
      <w:r>
        <w:rPr>
          <w:b/>
          <w:bCs/>
        </w:rPr>
        <w:t xml:space="preserve">Vérifier avant d’utiliser</w:t>
      </w:r>
      <w:r>
        <w:t xml:space="preserve"> : deux ou trois contrôles concrets, à faire à chaque fois.</w:t>
      </w:r>
    </w:p>
    <w:p>
      <w:pPr>
        <w:pStyle w:val="ListParagraph"/>
        <w:numPr>
          <w:ilvl w:val="0"/>
          <w:numId w:val="2"/>
        </w:numPr>
        <w:spacing w:after="60" w:line="264"/>
      </w:pPr>
      <w:r>
        <w:rPr>
          <w:b/>
          <w:bCs/>
        </w:rPr>
        <w:t xml:space="preserve">Variante</w:t>
      </w:r>
      <w:r>
        <w:t xml:space="preserve"> et </w:t>
      </w:r>
      <w:r>
        <w:rPr>
          <w:b/>
          <w:bCs/>
        </w:rPr>
        <w:t xml:space="preserve">Par outil</w:t>
      </w:r>
      <w:r>
        <w:t xml:space="preserve"> : un prompt de relance, et ce qui change d’un outil à l’autre quand cela compte.</w:t>
      </w:r>
    </w:p>
    <w:p>
      <w:pPr>
        <w:spacing w:after="100" w:line="264"/>
      </w:pPr>
      <w:r>
        <w:t xml:space="preserve">Au niveau 3, le prompt devient une </w:t>
      </w:r>
      <w:r>
        <w:rPr>
          <w:b/>
          <w:bCs/>
        </w:rPr>
        <w:t xml:space="preserve">instruction permanente</w:t>
      </w:r>
      <w:r>
        <w:t xml:space="preserve"> (la configuration de l’assistant) accompagnée d’un </w:t>
      </w:r>
      <w:r>
        <w:rPr>
          <w:b/>
          <w:bCs/>
        </w:rPr>
        <w:t xml:space="preserve">prompt de lancement</w:t>
      </w:r>
      <w:r>
        <w:t xml:space="preserve"> et de </w:t>
      </w:r>
      <w:r>
        <w:rPr>
          <w:b/>
          <w:bCs/>
        </w:rPr>
        <w:t xml:space="preserve">règles de supervision</w:t>
      </w:r>
      <w:r>
        <w:t xml:space="preserve">.</w:t>
      </w:r>
    </w:p>
    <w:p>
      <w:pPr>
        <w:pStyle w:val="Heading1"/>
        <w:pageBreakBefore/>
      </w:pPr>
      <w:r>
        <w:t xml:space="preserve">Partie 0. Le cadre : lire avant le premier prompt</w:t>
      </w:r>
    </w:p>
    <w:p>
      <w:pPr>
        <w:pStyle w:val="Heading2"/>
      </w:pPr>
      <w:r>
        <w:t xml:space="preserve">0.1 Pourquoi ce kit, et comment l’utiliser</w:t>
      </w:r>
    </w:p>
    <w:p>
      <w:pPr>
        <w:spacing w:after="100" w:line="264"/>
      </w:pPr>
      <w:r>
        <w:t xml:space="preserve">L’usage de l’IA générative dans les métiers du droit est devenu massif, mais il reste superficiel. Selon le rapport Future of Professionals 2026 de Thomson Reuters (1 816 professionnels, 62 pays), 74 % utilisent l’IA plusieurs fois par semaine, et pourtant 91 % estiment que leur organisation n’en tire pas ce qu’elle pourrait ; le manque de formation est le deuxième frein cité, par 43 % des répondants, et 34 % utilisent des outils non approuvés. Du côté des juristes, l’enquête Future Ready Lawyer 2026 de Wolters Kluwer (810 avocats et juristes, 11 pays dont la France) montre que 92 % utilisent au moins un outil d’IA et que 62 % gagnent entre 6 et 20 % de leur semaine. La revue contractuelle arrive en tête de tous les classements : 87 % des juristes d’entreprise interrogés par LegalOn en 2026 y voient le premier bénéfice, pour une tâche qui prend en moyenne 3,1 heures par contrat.</w:t>
      </w:r>
    </w:p>
    <w:p>
      <w:pPr>
        <w:spacing w:after="100" w:line="264"/>
      </w:pPr>
      <w:r>
        <w:t xml:space="preserve">Le problème n’est donc plus d’accéder à l’outil, mais de savoir quoi lui demander, avec quelles données, et comment vérifier ce qu’il rend. C’est exactement ce que ce kit organise, en trois niveaux :</w:t>
      </w:r>
    </w:p>
    <w:p>
      <w:pPr>
        <w:pStyle w:val="ListParagraph"/>
        <w:numPr>
          <w:ilvl w:val="0"/>
          <w:numId w:val="3"/>
        </w:numPr>
        <w:spacing w:after="60" w:line="264"/>
      </w:pPr>
      <w:r>
        <w:rPr>
          <w:b/>
          <w:bCs/>
        </w:rPr>
        <w:t xml:space="preserve">Niveau 1, prendre en main.</w:t>
      </w:r>
      <w:r>
        <w:t xml:space="preserve"> Dix usages où vous fournissez le texte et relisez la sortie en cinq minutes : synthèse, reformulation, explication, préparation. Objectif : être autonome sur les usages quotidiens et maîtriser le gabarit de prompt.</w:t>
      </w:r>
    </w:p>
    <w:p>
      <w:pPr>
        <w:pStyle w:val="ListParagraph"/>
        <w:numPr>
          <w:ilvl w:val="0"/>
          <w:numId w:val="3"/>
        </w:numPr>
        <w:spacing w:after="60" w:line="264"/>
      </w:pPr>
      <w:r>
        <w:rPr>
          <w:b/>
          <w:bCs/>
        </w:rPr>
        <w:t xml:space="preserve">Niveau 2, analyser et rédiger avec méthode.</w:t>
      </w:r>
      <w:r>
        <w:t xml:space="preserve"> Douze usages où vous apportez vos documents et vos positions : extraction de clauses, comparaison au playbook, checklists de conformité, mémos. La vérification devient systématique.</w:t>
      </w:r>
    </w:p>
    <w:p>
      <w:pPr>
        <w:pStyle w:val="ListParagraph"/>
        <w:numPr>
          <w:ilvl w:val="0"/>
          <w:numId w:val="3"/>
        </w:numPr>
        <w:spacing w:after="60" w:line="264"/>
      </w:pPr>
      <w:r>
        <w:rPr>
          <w:b/>
          <w:bCs/>
        </w:rPr>
        <w:t xml:space="preserve">Niveau 3, déléguer.</w:t>
      </w:r>
      <w:r>
        <w:t xml:space="preserve"> Huit assistants et agents supervisés : le prompt devient une instruction permanente, l’outil travaille dans vos documents, l’humain valide chaque étape.</w:t>
      </w:r>
    </w:p>
    <w:p>
      <w:pPr>
        <w:spacing w:after="100" w:line="264"/>
      </w:pPr>
      <w:r>
        <w:rPr>
          <w:b/>
          <w:bCs/>
        </w:rPr>
        <w:t xml:space="preserve">Le rythme conseillé</w:t>
      </w:r>
      <w:r>
        <w:t xml:space="preserve"> : vingt minutes par jour, deux semaines par niveau, soit six semaines. Commencez par l’auto-évaluation de l’annexe A pour choisir votre point de départ, cochez le journal de progression de l’annexe F, et gardez chaque prompt qui a fonctionné pour vous dans le gabarit de l’annexe B. La partie 4 explique comment un directeur juridique en fait un parcours d’équipe.</w:t>
      </w:r>
    </w:p>
    <w:p>
      <w:pPr>
        <w:pStyle w:val="Heading2"/>
      </w:pPr>
      <w:r>
        <w:t xml:space="preserve">0.2 La zone rouge : ce que vous ne saisissez jamais</w:t>
      </w:r>
    </w:p>
    <w:p>
      <w:pPr>
        <w:spacing w:after="100" w:line="264"/>
      </w:pPr>
      <w:r>
        <w:t xml:space="preserve">La première compétence n’est pas de bien prompter, c’est de savoir ce qui ne sort pas. Le guide « La déontologie et l’IA » publié par le Conseil national des barreaux en mars 2026 le rappelle pour les avocats : aucune information couverte par le secret professionnel ne doit être transmise à un outil d’IA générative, et il faut vérifier où sont hébergées les données, qui détient l’outil et quels sont ses paramètres de confidentialité. Un juriste d’entreprise est tenu par les mêmes réflexes : secret des affaires, confidentialité contractuelle, données personnelles, informations privilégiées, stratégie contentieuse.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600"/>
        <w:gridCol w:w="4200"/>
        <w:gridCol w:w="2800"/>
      </w:tblGrid>
      <w:tr>
        <w:trPr>
          <w:cantSplit/>
          <w:tblHeader/>
        </w:trPr>
        <w:tc>
          <w:tcPr>
            <w:tcW w:type="dxa" w:w="2600"/>
            <w:shd w:fill="10213A" w:color="auto" w:val="clear"/>
            <w:tcMar>
              <w:top w:type="dxa" w:w="70"/>
              <w:left w:type="dxa" w:w="110"/>
              <w:bottom w:type="dxa" w:w="70"/>
              <w:right w:type="dxa" w:w="110"/>
            </w:tcMar>
          </w:tcPr>
          <w:p>
            <w:pPr>
              <w:spacing w:after="40" w:line="252"/>
            </w:pPr>
            <w:r>
              <w:rPr>
                <w:b/>
                <w:bCs/>
                <w:color w:val="FFFFFF"/>
                <w:sz w:val="19"/>
                <w:szCs w:val="19"/>
              </w:rPr>
              <w:t xml:space="preserve">Ne jamais saisir</w:t>
            </w:r>
          </w:p>
        </w:tc>
        <w:tc>
          <w:tcPr>
            <w:tcW w:type="dxa" w:w="4200"/>
            <w:shd w:fill="10213A" w:color="auto" w:val="clear"/>
            <w:tcMar>
              <w:top w:type="dxa" w:w="70"/>
              <w:left w:type="dxa" w:w="110"/>
              <w:bottom w:type="dxa" w:w="70"/>
              <w:right w:type="dxa" w:w="110"/>
            </w:tcMar>
          </w:tcPr>
          <w:p>
            <w:pPr>
              <w:spacing w:after="40" w:line="252"/>
            </w:pPr>
            <w:r>
              <w:rPr>
                <w:b/>
                <w:bCs/>
                <w:color w:val="FFFFFF"/>
                <w:sz w:val="19"/>
                <w:szCs w:val="19"/>
              </w:rPr>
              <w:t xml:space="preserve">Exemples</w:t>
            </w:r>
          </w:p>
        </w:tc>
        <w:tc>
          <w:tcPr>
            <w:tcW w:type="dxa" w:w="2800"/>
            <w:shd w:fill="10213A" w:color="auto" w:val="clear"/>
            <w:tcMar>
              <w:top w:type="dxa" w:w="70"/>
              <w:left w:type="dxa" w:w="110"/>
              <w:bottom w:type="dxa" w:w="70"/>
              <w:right w:type="dxa" w:w="110"/>
            </w:tcMar>
          </w:tcPr>
          <w:p>
            <w:pPr>
              <w:spacing w:after="40" w:line="252"/>
            </w:pPr>
            <w:r>
              <w:rPr>
                <w:b/>
                <w:bCs/>
                <w:color w:val="FFFFFF"/>
                <w:sz w:val="19"/>
                <w:szCs w:val="19"/>
              </w:rPr>
              <w:t xml:space="preserve">Que faire à la place</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Données personnelles non nécessaires</w:t>
            </w:r>
          </w:p>
        </w:tc>
        <w:tc>
          <w:tcPr>
            <w:tcW w:type="dxa" w:w="4200"/>
            <w:tcMar>
              <w:top w:type="dxa" w:w="70"/>
              <w:left w:type="dxa" w:w="110"/>
              <w:bottom w:type="dxa" w:w="70"/>
              <w:right w:type="dxa" w:w="110"/>
            </w:tcMar>
          </w:tcPr>
          <w:p>
            <w:pPr>
              <w:spacing w:after="40" w:line="252"/>
            </w:pPr>
            <w:r>
              <w:rPr>
                <w:sz w:val="19"/>
                <w:szCs w:val="19"/>
              </w:rPr>
              <w:t xml:space="preserve">Noms, adresses, numéros de contrat, données de santé, données bancaires, situation individuelle d’un salarié</w:t>
            </w:r>
          </w:p>
        </w:tc>
        <w:tc>
          <w:tcPr>
            <w:tcW w:type="dxa" w:w="2800"/>
            <w:tcMar>
              <w:top w:type="dxa" w:w="70"/>
              <w:left w:type="dxa" w:w="110"/>
              <w:bottom w:type="dxa" w:w="70"/>
              <w:right w:type="dxa" w:w="110"/>
            </w:tcMar>
          </w:tcPr>
          <w:p>
            <w:pPr>
              <w:spacing w:after="40" w:line="252"/>
            </w:pPr>
            <w:r>
              <w:rPr>
                <w:sz w:val="19"/>
                <w:szCs w:val="19"/>
              </w:rPr>
              <w:t xml:space="preserve">Pseudonymiser : rôles à la place des noms (« le Fournisseur », « la salariée »), montants arrondis, dates conservées si utiles</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Informations couvertes par un secret ou un privilège</w:t>
            </w:r>
          </w:p>
        </w:tc>
        <w:tc>
          <w:tcPr>
            <w:tcW w:type="dxa" w:w="4200"/>
            <w:shd w:fill="F2F6FA" w:color="auto" w:val="clear"/>
            <w:tcMar>
              <w:top w:type="dxa" w:w="70"/>
              <w:left w:type="dxa" w:w="110"/>
              <w:bottom w:type="dxa" w:w="70"/>
              <w:right w:type="dxa" w:w="110"/>
            </w:tcMar>
          </w:tcPr>
          <w:p>
            <w:pPr>
              <w:spacing w:after="40" w:line="252"/>
            </w:pPr>
            <w:r>
              <w:rPr>
                <w:sz w:val="19"/>
                <w:szCs w:val="19"/>
              </w:rPr>
              <w:t xml:space="preserve">Consultations d’avocat, stratégie contentieuse, échanges avec le conseil, pièces d’un dossier pénal</w:t>
            </w:r>
          </w:p>
        </w:tc>
        <w:tc>
          <w:tcPr>
            <w:tcW w:type="dxa" w:w="2800"/>
            <w:shd w:fill="F2F6FA" w:color="auto" w:val="clear"/>
            <w:tcMar>
              <w:top w:type="dxa" w:w="70"/>
              <w:left w:type="dxa" w:w="110"/>
              <w:bottom w:type="dxa" w:w="70"/>
              <w:right w:type="dxa" w:w="110"/>
            </w:tcMar>
          </w:tcPr>
          <w:p>
            <w:pPr>
              <w:spacing w:after="40" w:line="252"/>
            </w:pPr>
            <w:r>
              <w:rPr>
                <w:sz w:val="19"/>
                <w:szCs w:val="19"/>
              </w:rPr>
              <w:t xml:space="preserve">Uniquement dans un outil validé par la DSI et le cabinet, dans un espace cloisonné ; sinon, travailler sur un résumé anonymisé</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Informations confidentielles de tiers</w:t>
            </w:r>
          </w:p>
        </w:tc>
        <w:tc>
          <w:tcPr>
            <w:tcW w:type="dxa" w:w="4200"/>
            <w:tcMar>
              <w:top w:type="dxa" w:w="70"/>
              <w:left w:type="dxa" w:w="110"/>
              <w:bottom w:type="dxa" w:w="70"/>
              <w:right w:type="dxa" w:w="110"/>
            </w:tcMar>
          </w:tcPr>
          <w:p>
            <w:pPr>
              <w:spacing w:after="40" w:line="252"/>
            </w:pPr>
            <w:r>
              <w:rPr>
                <w:sz w:val="19"/>
                <w:szCs w:val="19"/>
              </w:rPr>
              <w:t xml:space="preserve">Contrats et documents reçus sous NDA, données de partenaires, offres de concurrents obtenues en due diligence</w:t>
            </w:r>
          </w:p>
        </w:tc>
        <w:tc>
          <w:tcPr>
            <w:tcW w:type="dxa" w:w="2800"/>
            <w:tcMar>
              <w:top w:type="dxa" w:w="70"/>
              <w:left w:type="dxa" w:w="110"/>
              <w:bottom w:type="dxa" w:w="70"/>
              <w:right w:type="dxa" w:w="110"/>
            </w:tcMar>
          </w:tcPr>
          <w:p>
            <w:pPr>
              <w:spacing w:after="40" w:line="252"/>
            </w:pPr>
            <w:r>
              <w:rPr>
                <w:sz w:val="19"/>
                <w:szCs w:val="19"/>
              </w:rPr>
              <w:t xml:space="preserve">Vérifier la clause de confidentialité : elle interdit souvent tout « tiers », donc tout outil non contractualisé par l’organisation</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Secrets d’affaires et informations privilégiées</w:t>
            </w:r>
          </w:p>
        </w:tc>
        <w:tc>
          <w:tcPr>
            <w:tcW w:type="dxa" w:w="4200"/>
            <w:shd w:fill="F2F6FA" w:color="auto" w:val="clear"/>
            <w:tcMar>
              <w:top w:type="dxa" w:w="70"/>
              <w:left w:type="dxa" w:w="110"/>
              <w:bottom w:type="dxa" w:w="70"/>
              <w:right w:type="dxa" w:w="110"/>
            </w:tcMar>
          </w:tcPr>
          <w:p>
            <w:pPr>
              <w:spacing w:after="40" w:line="252"/>
            </w:pPr>
            <w:r>
              <w:rPr>
                <w:sz w:val="19"/>
                <w:szCs w:val="19"/>
              </w:rPr>
              <w:t xml:space="preserve">Projets d’acquisition, résultats non publiés, prix de revient, feuilles de route produit</w:t>
            </w:r>
          </w:p>
        </w:tc>
        <w:tc>
          <w:tcPr>
            <w:tcW w:type="dxa" w:w="2800"/>
            <w:shd w:fill="F2F6FA" w:color="auto" w:val="clear"/>
            <w:tcMar>
              <w:top w:type="dxa" w:w="70"/>
              <w:left w:type="dxa" w:w="110"/>
              <w:bottom w:type="dxa" w:w="70"/>
              <w:right w:type="dxa" w:w="110"/>
            </w:tcMar>
          </w:tcPr>
          <w:p>
            <w:pPr>
              <w:spacing w:after="40" w:line="252"/>
            </w:pPr>
            <w:r>
              <w:rPr>
                <w:sz w:val="19"/>
                <w:szCs w:val="19"/>
              </w:rPr>
              <w:t xml:space="preserve">Outil validé exclusivement, principe du besoin d’en connaître, pas de compte personnel</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Éléments de sécurité</w:t>
            </w:r>
          </w:p>
        </w:tc>
        <w:tc>
          <w:tcPr>
            <w:tcW w:type="dxa" w:w="4200"/>
            <w:tcMar>
              <w:top w:type="dxa" w:w="70"/>
              <w:left w:type="dxa" w:w="110"/>
              <w:bottom w:type="dxa" w:w="70"/>
              <w:right w:type="dxa" w:w="110"/>
            </w:tcMar>
          </w:tcPr>
          <w:p>
            <w:pPr>
              <w:spacing w:after="40" w:line="252"/>
            </w:pPr>
            <w:r>
              <w:rPr>
                <w:sz w:val="19"/>
                <w:szCs w:val="19"/>
              </w:rPr>
              <w:t xml:space="preserve">Mots de passe, clés d’accès, schémas d’architecture, procédures de sécurité, documents RH sensibles</w:t>
            </w:r>
          </w:p>
        </w:tc>
        <w:tc>
          <w:tcPr>
            <w:tcW w:type="dxa" w:w="2800"/>
            <w:tcMar>
              <w:top w:type="dxa" w:w="70"/>
              <w:left w:type="dxa" w:w="110"/>
              <w:bottom w:type="dxa" w:w="70"/>
              <w:right w:type="dxa" w:w="110"/>
            </w:tcMar>
          </w:tcPr>
          <w:p>
            <w:pPr>
              <w:spacing w:after="40" w:line="252"/>
            </w:pPr>
            <w:r>
              <w:rPr>
                <w:sz w:val="19"/>
                <w:szCs w:val="19"/>
              </w:rPr>
              <w:t xml:space="preserve">Jamais, dans aucun outil, sous aucune forme</w:t>
            </w:r>
          </w:p>
        </w:tc>
      </w:tr>
    </w:tbl>
    <w:p>
      <w:pPr>
        <w:spacing w:after="120"/>
      </w:pPr>
    </w:p>
    <w:p>
      <w:pPr>
        <w:spacing w:after="100" w:line="264"/>
      </w:pPr>
      <w:r>
        <w:rPr>
          <w:b/>
          <w:bCs/>
        </w:rPr>
        <w:t xml:space="preserve">Trois gestes de pseudonymisation</w:t>
      </w:r>
      <w:r>
        <w:t xml:space="preserve"> suffisent dans la plupart des cas : remplacer les noms par des rôles, remplacer les identifiants par des génériques (« contrat n° X »), arrondir ou retirer les montants quand ils ne changent rien à l’analyse. Le résultat est aussi bon, parce que l’IA raisonne sur la structure, pas sur les noms.</w:t>
      </w:r>
    </w:p>
    <w:p>
      <w:pPr>
        <w:spacing w:after="100" w:line="264"/>
      </w:pPr>
      <w:r>
        <w:rPr>
          <w:b/>
          <w:bCs/>
        </w:rPr>
        <w:t xml:space="preserve">La règle de l’outil validé.</w:t>
      </w:r>
      <w:r>
        <w:t xml:space="preserve"> Un tiers des professionnels utilisent des outils que leur organisation n’a pas approuvés (Thomson Reuters, 2026). Un compte personnel gratuit n’offre ni engagement contractuel sur les données, ni garantie de non-réutilisation pour l’entraînement, ni traçabilité. Tous les prompts de ce kit s’utilisent dans l’outil que votre DSI a validé : Copilot sur votre tenant, une offre entreprise de ChatGPT, Claude, Gemini ou Mistral, ou votre LLM interne. Si vous n’en avez pas, c’est la première demande à formuler ; en attendant, ne travaillez que sur des textes publics (fiches 1, 8, 14, 21).</w:t>
      </w:r>
    </w:p>
    <w:p>
      <w:pPr>
        <w:pStyle w:val="Heading2"/>
      </w:pPr>
      <w:r>
        <w:t xml:space="preserve">0.3 Le gabarit de prompt en cinq lignes : Rôle, Contexte, Tâche, Format, Vérification</w:t>
      </w:r>
    </w:p>
    <w:p>
      <w:pPr>
        <w:spacing w:after="100" w:line="264"/>
      </w:pPr>
      <w:r>
        <w:t xml:space="preserve">Tous les prompts du kit suivent la même structure, celle que recommandent la plupart des praticiens du prompting juridique. Vous la reconnaîtrez d’une fiche à l’autre, et vous saurez rapidement écrire les vôtres.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000"/>
        <w:gridCol w:w="3800"/>
        <w:gridCol w:w="3800"/>
      </w:tblGrid>
      <w:tr>
        <w:trPr>
          <w:cantSplit/>
          <w:tblHeader/>
        </w:trPr>
        <w:tc>
          <w:tcPr>
            <w:tcW w:type="dxa" w:w="2000"/>
            <w:shd w:fill="10213A" w:color="auto" w:val="clear"/>
            <w:tcMar>
              <w:top w:type="dxa" w:w="70"/>
              <w:left w:type="dxa" w:w="110"/>
              <w:bottom w:type="dxa" w:w="70"/>
              <w:right w:type="dxa" w:w="110"/>
            </w:tcMar>
          </w:tcPr>
          <w:p>
            <w:pPr>
              <w:spacing w:after="40" w:line="252"/>
            </w:pPr>
            <w:r>
              <w:rPr>
                <w:b/>
                <w:bCs/>
                <w:color w:val="FFFFFF"/>
                <w:sz w:val="19"/>
                <w:szCs w:val="19"/>
              </w:rPr>
              <w:t xml:space="preserve">Ligne</w:t>
            </w:r>
          </w:p>
        </w:tc>
        <w:tc>
          <w:tcPr>
            <w:tcW w:type="dxa" w:w="3800"/>
            <w:shd w:fill="10213A" w:color="auto" w:val="clear"/>
            <w:tcMar>
              <w:top w:type="dxa" w:w="70"/>
              <w:left w:type="dxa" w:w="110"/>
              <w:bottom w:type="dxa" w:w="70"/>
              <w:right w:type="dxa" w:w="110"/>
            </w:tcMar>
          </w:tcPr>
          <w:p>
            <w:pPr>
              <w:spacing w:after="40" w:line="252"/>
            </w:pPr>
            <w:r>
              <w:rPr>
                <w:b/>
                <w:bCs/>
                <w:color w:val="FFFFFF"/>
                <w:sz w:val="19"/>
                <w:szCs w:val="19"/>
              </w:rPr>
              <w:t xml:space="preserve">Ce qu’elle apporte</w:t>
            </w:r>
          </w:p>
        </w:tc>
        <w:tc>
          <w:tcPr>
            <w:tcW w:type="dxa" w:w="3800"/>
            <w:shd w:fill="10213A" w:color="auto" w:val="clear"/>
            <w:tcMar>
              <w:top w:type="dxa" w:w="70"/>
              <w:left w:type="dxa" w:w="110"/>
              <w:bottom w:type="dxa" w:w="70"/>
              <w:right w:type="dxa" w:w="110"/>
            </w:tcMar>
          </w:tcPr>
          <w:p>
            <w:pPr>
              <w:spacing w:after="40" w:line="252"/>
            </w:pPr>
            <w:r>
              <w:rPr>
                <w:b/>
                <w:bCs/>
                <w:color w:val="FFFFFF"/>
                <w:sz w:val="19"/>
                <w:szCs w:val="19"/>
              </w:rPr>
              <w:t xml:space="preserve">Erreur de débutant qu’elle évite</w:t>
            </w:r>
          </w:p>
        </w:tc>
      </w:tr>
      <w:tr>
        <w:trPr>
          <w:cantSplit/>
          <w:tblHeader w:val="false"/>
        </w:trPr>
        <w:tc>
          <w:tcPr>
            <w:tcW w:type="dxa" w:w="2000"/>
            <w:tcMar>
              <w:top w:type="dxa" w:w="70"/>
              <w:left w:type="dxa" w:w="110"/>
              <w:bottom w:type="dxa" w:w="70"/>
              <w:right w:type="dxa" w:w="110"/>
            </w:tcMar>
          </w:tcPr>
          <w:p>
            <w:pPr>
              <w:spacing w:after="40" w:line="252"/>
            </w:pPr>
            <w:r>
              <w:rPr>
                <w:b/>
                <w:bCs/>
                <w:sz w:val="19"/>
                <w:szCs w:val="19"/>
              </w:rPr>
              <w:t xml:space="preserve">Rôle</w:t>
            </w:r>
          </w:p>
        </w:tc>
        <w:tc>
          <w:tcPr>
            <w:tcW w:type="dxa" w:w="3800"/>
            <w:tcMar>
              <w:top w:type="dxa" w:w="70"/>
              <w:left w:type="dxa" w:w="110"/>
              <w:bottom w:type="dxa" w:w="70"/>
              <w:right w:type="dxa" w:w="110"/>
            </w:tcMar>
          </w:tcPr>
          <w:p>
            <w:pPr>
              <w:spacing w:after="40" w:line="252"/>
            </w:pPr>
            <w:r>
              <w:rPr>
                <w:sz w:val="19"/>
                <w:szCs w:val="19"/>
              </w:rPr>
              <w:t xml:space="preserve">Active le bon registre et le bon niveau d’exigence : « juriste d’entreprise expérimenté », « relecteur méticuleux », « professeur de droit »</w:t>
            </w:r>
          </w:p>
        </w:tc>
        <w:tc>
          <w:tcPr>
            <w:tcW w:type="dxa" w:w="3800"/>
            <w:tcMar>
              <w:top w:type="dxa" w:w="70"/>
              <w:left w:type="dxa" w:w="110"/>
              <w:bottom w:type="dxa" w:w="70"/>
              <w:right w:type="dxa" w:w="110"/>
            </w:tcMar>
          </w:tcPr>
          <w:p>
            <w:pPr>
              <w:spacing w:after="40" w:line="252"/>
            </w:pPr>
            <w:r>
              <w:rPr>
                <w:sz w:val="19"/>
                <w:szCs w:val="19"/>
              </w:rPr>
              <w:t xml:space="preserve">Pas de rôle : réponse générique, ton de blog</w:t>
            </w:r>
          </w:p>
        </w:tc>
      </w:tr>
      <w:tr>
        <w:trPr>
          <w:cantSplit/>
          <w:tblHeader w:val="false"/>
        </w:trPr>
        <w:tc>
          <w:tcPr>
            <w:tcW w:type="dxa" w:w="2000"/>
            <w:shd w:fill="F2F6FA" w:color="auto" w:val="clear"/>
            <w:tcMar>
              <w:top w:type="dxa" w:w="70"/>
              <w:left w:type="dxa" w:w="110"/>
              <w:bottom w:type="dxa" w:w="70"/>
              <w:right w:type="dxa" w:w="110"/>
            </w:tcMar>
          </w:tcPr>
          <w:p>
            <w:pPr>
              <w:spacing w:after="40" w:line="252"/>
            </w:pPr>
            <w:r>
              <w:rPr>
                <w:b/>
                <w:bCs/>
                <w:sz w:val="19"/>
                <w:szCs w:val="19"/>
              </w:rPr>
              <w:t xml:space="preserve">Contexte</w:t>
            </w:r>
          </w:p>
        </w:tc>
        <w:tc>
          <w:tcPr>
            <w:tcW w:type="dxa" w:w="3800"/>
            <w:shd w:fill="F2F6FA" w:color="auto" w:val="clear"/>
            <w:tcMar>
              <w:top w:type="dxa" w:w="70"/>
              <w:left w:type="dxa" w:w="110"/>
              <w:bottom w:type="dxa" w:w="70"/>
              <w:right w:type="dxa" w:w="110"/>
            </w:tcMar>
          </w:tcPr>
          <w:p>
            <w:pPr>
              <w:spacing w:after="40" w:line="252"/>
            </w:pPr>
            <w:r>
              <w:rPr>
                <w:sz w:val="19"/>
                <w:szCs w:val="19"/>
              </w:rPr>
              <w:t xml:space="preserve">Votre organisation, votre position (client ou fournisseur), l’enjeu, le lecteur final. Le contexte fait la différence entre une analyse générale et une réponse pour vous</w:t>
            </w:r>
          </w:p>
        </w:tc>
        <w:tc>
          <w:tcPr>
            <w:tcW w:type="dxa" w:w="3800"/>
            <w:shd w:fill="F2F6FA" w:color="auto" w:val="clear"/>
            <w:tcMar>
              <w:top w:type="dxa" w:w="70"/>
              <w:left w:type="dxa" w:w="110"/>
              <w:bottom w:type="dxa" w:w="70"/>
              <w:right w:type="dxa" w:w="110"/>
            </w:tcMar>
          </w:tcPr>
          <w:p>
            <w:pPr>
              <w:spacing w:after="40" w:line="252"/>
            </w:pPr>
            <w:r>
              <w:rPr>
                <w:sz w:val="19"/>
                <w:szCs w:val="19"/>
              </w:rPr>
              <w:t xml:space="preserve">Contexte absent : l’IA suppose, et suppose souvent mal</w:t>
            </w:r>
          </w:p>
        </w:tc>
      </w:tr>
      <w:tr>
        <w:trPr>
          <w:cantSplit/>
          <w:tblHeader w:val="false"/>
        </w:trPr>
        <w:tc>
          <w:tcPr>
            <w:tcW w:type="dxa" w:w="2000"/>
            <w:tcMar>
              <w:top w:type="dxa" w:w="70"/>
              <w:left w:type="dxa" w:w="110"/>
              <w:bottom w:type="dxa" w:w="70"/>
              <w:right w:type="dxa" w:w="110"/>
            </w:tcMar>
          </w:tcPr>
          <w:p>
            <w:pPr>
              <w:spacing w:after="40" w:line="252"/>
            </w:pPr>
            <w:r>
              <w:rPr>
                <w:b/>
                <w:bCs/>
                <w:sz w:val="19"/>
                <w:szCs w:val="19"/>
              </w:rPr>
              <w:t xml:space="preserve">Tâche</w:t>
            </w:r>
          </w:p>
        </w:tc>
        <w:tc>
          <w:tcPr>
            <w:tcW w:type="dxa" w:w="3800"/>
            <w:tcMar>
              <w:top w:type="dxa" w:w="70"/>
              <w:left w:type="dxa" w:w="110"/>
              <w:bottom w:type="dxa" w:w="70"/>
              <w:right w:type="dxa" w:w="110"/>
            </w:tcMar>
          </w:tcPr>
          <w:p>
            <w:pPr>
              <w:spacing w:after="40" w:line="252"/>
            </w:pPr>
            <w:r>
              <w:rPr>
                <w:sz w:val="19"/>
                <w:szCs w:val="19"/>
              </w:rPr>
              <w:t xml:space="preserve">Des questions précises et numérotées, un périmètre fermé (« uniquement à partir du texte ci-dessous »)</w:t>
            </w:r>
          </w:p>
        </w:tc>
        <w:tc>
          <w:tcPr>
            <w:tcW w:type="dxa" w:w="3800"/>
            <w:tcMar>
              <w:top w:type="dxa" w:w="70"/>
              <w:left w:type="dxa" w:w="110"/>
              <w:bottom w:type="dxa" w:w="70"/>
              <w:right w:type="dxa" w:w="110"/>
            </w:tcMar>
          </w:tcPr>
          <w:p>
            <w:pPr>
              <w:spacing w:after="40" w:line="252"/>
            </w:pPr>
            <w:r>
              <w:rPr>
                <w:sz w:val="19"/>
                <w:szCs w:val="19"/>
              </w:rPr>
              <w:t xml:space="preserve">Question vague (« analyse ce contrat ») : réponse longue et inutilisable</w:t>
            </w:r>
          </w:p>
        </w:tc>
      </w:tr>
      <w:tr>
        <w:trPr>
          <w:cantSplit/>
          <w:tblHeader w:val="false"/>
        </w:trPr>
        <w:tc>
          <w:tcPr>
            <w:tcW w:type="dxa" w:w="2000"/>
            <w:shd w:fill="F2F6FA" w:color="auto" w:val="clear"/>
            <w:tcMar>
              <w:top w:type="dxa" w:w="70"/>
              <w:left w:type="dxa" w:w="110"/>
              <w:bottom w:type="dxa" w:w="70"/>
              <w:right w:type="dxa" w:w="110"/>
            </w:tcMar>
          </w:tcPr>
          <w:p>
            <w:pPr>
              <w:spacing w:after="40" w:line="252"/>
            </w:pPr>
            <w:r>
              <w:rPr>
                <w:b/>
                <w:bCs/>
                <w:sz w:val="19"/>
                <w:szCs w:val="19"/>
              </w:rPr>
              <w:t xml:space="preserve">Format</w:t>
            </w:r>
          </w:p>
        </w:tc>
        <w:tc>
          <w:tcPr>
            <w:tcW w:type="dxa" w:w="3800"/>
            <w:shd w:fill="F2F6FA" w:color="auto" w:val="clear"/>
            <w:tcMar>
              <w:top w:type="dxa" w:w="70"/>
              <w:left w:type="dxa" w:w="110"/>
              <w:bottom w:type="dxa" w:w="70"/>
              <w:right w:type="dxa" w:w="110"/>
            </w:tcMar>
          </w:tcPr>
          <w:p>
            <w:pPr>
              <w:spacing w:after="40" w:line="252"/>
            </w:pPr>
            <w:r>
              <w:rPr>
                <w:sz w:val="19"/>
                <w:szCs w:val="19"/>
              </w:rPr>
              <w:t xml:space="preserve">Tableau, liste, longueur maximale, colonnes nommées, citations exigées</w:t>
            </w:r>
          </w:p>
        </w:tc>
        <w:tc>
          <w:tcPr>
            <w:tcW w:type="dxa" w:w="3800"/>
            <w:shd w:fill="F2F6FA" w:color="auto" w:val="clear"/>
            <w:tcMar>
              <w:top w:type="dxa" w:w="70"/>
              <w:left w:type="dxa" w:w="110"/>
              <w:bottom w:type="dxa" w:w="70"/>
              <w:right w:type="dxa" w:w="110"/>
            </w:tcMar>
          </w:tcPr>
          <w:p>
            <w:pPr>
              <w:spacing w:after="40" w:line="252"/>
            </w:pPr>
            <w:r>
              <w:rPr>
                <w:sz w:val="19"/>
                <w:szCs w:val="19"/>
              </w:rPr>
              <w:t xml:space="preserve">Sans format : trois pages de prose à retravailler</w:t>
            </w:r>
          </w:p>
        </w:tc>
      </w:tr>
      <w:tr>
        <w:trPr>
          <w:cantSplit/>
          <w:tblHeader w:val="false"/>
        </w:trPr>
        <w:tc>
          <w:tcPr>
            <w:tcW w:type="dxa" w:w="2000"/>
            <w:tcMar>
              <w:top w:type="dxa" w:w="70"/>
              <w:left w:type="dxa" w:w="110"/>
              <w:bottom w:type="dxa" w:w="70"/>
              <w:right w:type="dxa" w:w="110"/>
            </w:tcMar>
          </w:tcPr>
          <w:p>
            <w:pPr>
              <w:spacing w:after="40" w:line="252"/>
            </w:pPr>
            <w:r>
              <w:rPr>
                <w:b/>
                <w:bCs/>
                <w:sz w:val="19"/>
                <w:szCs w:val="19"/>
              </w:rPr>
              <w:t xml:space="preserve">Vérification</w:t>
            </w:r>
          </w:p>
        </w:tc>
        <w:tc>
          <w:tcPr>
            <w:tcW w:type="dxa" w:w="3800"/>
            <w:tcMar>
              <w:top w:type="dxa" w:w="70"/>
              <w:left w:type="dxa" w:w="110"/>
              <w:bottom w:type="dxa" w:w="70"/>
              <w:right w:type="dxa" w:w="110"/>
            </w:tcMar>
          </w:tcPr>
          <w:p>
            <w:pPr>
              <w:spacing w:after="40" w:line="252"/>
            </w:pPr>
            <w:r>
              <w:rPr>
                <w:sz w:val="19"/>
                <w:szCs w:val="19"/>
              </w:rPr>
              <w:t xml:space="preserve">Ce que l’IA doit faire de ses incertitudes : « écris non précisé », « cite le passage exact », « liste tes sources »</w:t>
            </w:r>
          </w:p>
        </w:tc>
        <w:tc>
          <w:tcPr>
            <w:tcW w:type="dxa" w:w="3800"/>
            <w:tcMar>
              <w:top w:type="dxa" w:w="70"/>
              <w:left w:type="dxa" w:w="110"/>
              <w:bottom w:type="dxa" w:w="70"/>
              <w:right w:type="dxa" w:w="110"/>
            </w:tcMar>
          </w:tcPr>
          <w:p>
            <w:pPr>
              <w:spacing w:after="40" w:line="252"/>
            </w:pPr>
            <w:r>
              <w:rPr>
                <w:sz w:val="19"/>
                <w:szCs w:val="19"/>
              </w:rPr>
              <w:t xml:space="preserve">Sans consigne : l’IA comble les trous et invente</w:t>
            </w:r>
          </w:p>
        </w:tc>
      </w:tr>
    </w:tbl>
    <w:p>
      <w:pPr>
        <w:spacing w:after="120"/>
      </w:pPr>
    </w:p>
    <w:p>
      <w:pPr>
        <w:spacing w:after="100" w:line="264"/>
      </w:pPr>
      <w:r>
        <w:t xml:space="preserve">Deux réflexes complètent le gabarit. </w:t>
      </w:r>
      <w:r>
        <w:rPr>
          <w:b/>
          <w:bCs/>
        </w:rPr>
        <w:t xml:space="preserve">Itérer</w:t>
      </w:r>
      <w:r>
        <w:t xml:space="preserve"> : la première réponse est un brouillon, la relance (« plus court », « uniquement les statuts 3 et 4 », « en tableau ») est normale et rapide. </w:t>
      </w:r>
      <w:r>
        <w:rPr>
          <w:b/>
          <w:bCs/>
        </w:rPr>
        <w:t xml:space="preserve">Fermer le périmètre</w:t>
      </w:r>
      <w:r>
        <w:t xml:space="preserve"> : plus la tâche touche au droit positif, plus vous fournissez vous-même les textes ; l’IA structure, elle ne sert pas de source.</w:t>
      </w:r>
    </w:p>
    <w:p>
      <w:pPr>
        <w:pStyle w:val="Heading2"/>
      </w:pPr>
      <w:r>
        <w:t xml:space="preserve">0.4 Les trois règles de vérification</w:t>
      </w:r>
    </w:p>
    <w:p>
      <w:pPr>
        <w:spacing w:after="100" w:line="264"/>
      </w:pPr>
      <w:r>
        <w:t xml:space="preserve">Entre décembre 2025 et février 2026, le tribunal administratif d’Orléans, le tribunal judiciaire de Périgueux, le tribunal administratif de Grenoble puis la cour administrative d’appel de Bordeaux ont relevé dans des écritures des références jurisprudentielles inexactes ou inexistantes produites par des outils d’IA, et ont rappelé aux conseils leur devoir de vérifier. La base tenue par Damien Charlotin recense plus d’un millier de décisions de ce type dans le monde. Aucune n’implique un outil défaillant : toutes impliquent une sortie non vérifiée.</w:t>
      </w:r>
    </w:p>
    <w:p>
      <w:pPr>
        <w:pStyle w:val="ListParagraph"/>
        <w:numPr>
          <w:ilvl w:val="0"/>
          <w:numId w:val="4"/>
        </w:numPr>
        <w:spacing w:after="60" w:line="264"/>
      </w:pPr>
      <w:r>
        <w:rPr>
          <w:b/>
          <w:bCs/>
        </w:rPr>
        <w:t xml:space="preserve">Toute référence citée existe et dit ce qu’on lui fait dire.</w:t>
      </w:r>
      <w:r>
        <w:t xml:space="preserve"> Texte, article, décision, date : on l’ouvre dans la source officielle (Légifrance, EUR-Lex, site de l’autorité) avant de la reprendre. Une référence que vous n’avez pas ouverte n’existe pas.</w:t>
      </w:r>
    </w:p>
    <w:p>
      <w:pPr>
        <w:pStyle w:val="ListParagraph"/>
        <w:numPr>
          <w:ilvl w:val="0"/>
          <w:numId w:val="4"/>
        </w:numPr>
        <w:spacing w:after="60" w:line="264"/>
      </w:pPr>
      <w:r>
        <w:rPr>
          <w:b/>
          <w:bCs/>
        </w:rPr>
        <w:t xml:space="preserve">Toute citation d’un document se retrouve dans le document.</w:t>
      </w:r>
      <w:r>
        <w:t xml:space="preserve"> Les prompts du kit exigent la citation exacte du passage ; vous la cherchez dans le texte. Une citation introuvable invalide la ligne entière.</w:t>
      </w:r>
    </w:p>
    <w:p>
      <w:pPr>
        <w:pStyle w:val="ListParagraph"/>
        <w:numPr>
          <w:ilvl w:val="0"/>
          <w:numId w:val="4"/>
        </w:numPr>
        <w:spacing w:after="60" w:line="264"/>
      </w:pPr>
      <w:r>
        <w:rPr>
          <w:b/>
          <w:bCs/>
        </w:rPr>
        <w:t xml:space="preserve">Le test du « je signerais ».</w:t>
      </w:r>
      <w:r>
        <w:t xml:space="preserve"> Avant d’utiliser une sortie, demandez-vous si vous la signeriez telle quelle sous votre nom. Si la réponse est non, ce n’est pas fini. L’IA prépare, vous engagez.</w:t>
      </w:r>
    </w:p>
    <w:p>
      <w:pPr>
        <w:spacing w:after="100" w:line="264"/>
      </w:pPr>
      <w:r>
        <w:t xml:space="preserve">La checklist de l’annexe C tient sur une page, recto verso avec la zone rouge : imprimez-la.</w:t>
      </w:r>
    </w:p>
    <w:p>
      <w:pPr>
        <w:pStyle w:val="Heading2"/>
      </w:pPr>
      <w:r>
        <w:t xml:space="preserve">0.5 Ce que le règlement européen sur l’IA attend de vous, et comment le kit y répond</w:t>
      </w:r>
    </w:p>
    <w:p>
      <w:pPr>
        <w:spacing w:after="100" w:line="264"/>
      </w:pPr>
      <w:r>
        <w:t xml:space="preserve">L’article 4 du règlement européen sur l’intelligence artificielle impose depuis le 2 février 2025 aux organisations qui déploient des systèmes d’IA de veiller à la maîtrise de l’IA de leur personnel : connaissances, expérience, formation adaptées au contexte d’usage et aux personnes concernées. Le règlement Omnibus 2026/1744, applicable depuis le 27 juillet 2026, a reformulé l’obligation en une obligation de « prendre des mesures » soutenant cette maîtrise, sans certification ni quota d’heures, mais avec l’attente que les mesures existent et puissent être montrées. Une direction juridique est doublement concernée : comme utilisatrice, et comme fonction qui conseille le reste de l’organisation.</w:t>
      </w:r>
    </w:p>
    <w:p>
      <w:pPr>
        <w:spacing w:after="100" w:line="264"/>
      </w:pPr>
      <w:r>
        <w:t xml:space="preserve">Ce kit est une de ces mesures, à condition de laisser une trace : le journal de progression de l’annexe F daté et signé par chaque juriste, la liste des ateliers d’équipe de la partie 4, et la bibliothèque de prompts partagée constituent une documentation simple et proportionnée. La charte d’usage de l’IA de l’organisation, dont NextStart propose un modèle, fixe le cadre ; le kit fournit la pratique.</w:t>
      </w:r>
    </w:p>
    <w:p>
      <w:pPr>
        <w:pStyle w:val="Heading1"/>
        <w:pageBreakBefore/>
      </w:pPr>
      <w:r>
        <w:t xml:space="preserve">Niveau 1. Prendre en main : gagner du temps dès aujourd’hui</w:t>
      </w:r>
    </w:p>
    <w:p>
      <w:pPr>
        <w:spacing w:after="100" w:line="264"/>
      </w:pPr>
      <w:r>
        <w:t xml:space="preserve">Dix usages où vous fournissez le texte et où la sortie se relit en cinq minutes. Aucun n’exige que l’IA connaisse le droit : elle synthétise, reformule, explique, structure ce que vous lui donnez. C’est le terrain idéal pour apprendre le gabarit Rôle, Contexte, Tâche, Format, Vérification, prendre l’habitude de pseudonymiser, et mesurer ce que l’outil fait bien.</w:t>
      </w:r>
    </w:p>
    <w:p>
      <w:pPr>
        <w:spacing w:after="100" w:line="264"/>
      </w:pPr>
      <w:r>
        <w:rPr>
          <w:b/>
          <w:bCs/>
        </w:rPr>
        <w:t xml:space="preserve">Ce que vous saurez faire à la fin du niveau 1</w:t>
      </w:r>
      <w:r>
        <w:t xml:space="preserve"> : écrire un prompt complet en cinq lignes sans modèle ; relancer pour obtenir le format voulu ; repérer en lecture rapide une sortie qui déborde du texte fourni ; expliquer à un collègue pourquoi tel document ne sort pas de l’organisation.</w:t>
      </w:r>
    </w:p>
    <w:p>
      <w:pPr>
        <w:spacing w:after="100" w:line="264"/>
      </w:pPr>
      <w:r>
        <w:rPr>
          <w:b/>
          <w:bCs/>
        </w:rPr>
        <w:t xml:space="preserve">Le rituel des deux semaines</w:t>
      </w:r>
      <w:r>
        <w:t xml:space="preserve"> : une fiche par jour ouvré, sur un vrai document de votre semaine. Notez dans le journal (annexe F) le temps que vous auriez passé sans l’outil et le temps réellement passé, relecture comprise. Le chiffre parle de lui-même au bout de dix jours.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400"/>
        <w:gridCol w:w="7200"/>
      </w:tblGrid>
      <w:tr>
        <w:trPr>
          <w:cantSplit/>
          <w:tblHeader/>
        </w:trPr>
        <w:tc>
          <w:tcPr>
            <w:tcW w:type="dxa" w:w="2400"/>
            <w:shd w:fill="10213A" w:color="auto" w:val="clear"/>
            <w:tcMar>
              <w:top w:type="dxa" w:w="70"/>
              <w:left w:type="dxa" w:w="110"/>
              <w:bottom w:type="dxa" w:w="70"/>
              <w:right w:type="dxa" w:w="110"/>
            </w:tcMar>
          </w:tcPr>
          <w:p>
            <w:pPr>
              <w:spacing w:after="40" w:line="252"/>
            </w:pPr>
            <w:r>
              <w:rPr>
                <w:b/>
                <w:bCs/>
                <w:color w:val="FFFFFF"/>
                <w:sz w:val="19"/>
                <w:szCs w:val="19"/>
              </w:rPr>
              <w:t xml:space="preserve">Famille</w:t>
            </w:r>
          </w:p>
        </w:tc>
        <w:tc>
          <w:tcPr>
            <w:tcW w:type="dxa" w:w="7200"/>
            <w:shd w:fill="10213A" w:color="auto" w:val="clear"/>
            <w:tcMar>
              <w:top w:type="dxa" w:w="70"/>
              <w:left w:type="dxa" w:w="110"/>
              <w:bottom w:type="dxa" w:w="70"/>
              <w:right w:type="dxa" w:w="110"/>
            </w:tcMar>
          </w:tcPr>
          <w:p>
            <w:pPr>
              <w:spacing w:after="40" w:line="252"/>
            </w:pPr>
            <w:r>
              <w:rPr>
                <w:b/>
                <w:bCs/>
                <w:color w:val="FFFFFF"/>
                <w:sz w:val="19"/>
                <w:szCs w:val="19"/>
              </w:rPr>
              <w:t xml:space="preserve">Fiches du niveau 1</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Communication</w:t>
            </w:r>
          </w:p>
        </w:tc>
        <w:tc>
          <w:tcPr>
            <w:tcW w:type="dxa" w:w="7200"/>
            <w:tcMar>
              <w:top w:type="dxa" w:w="70"/>
              <w:left w:type="dxa" w:w="110"/>
              <w:bottom w:type="dxa" w:w="70"/>
              <w:right w:type="dxa" w:w="110"/>
            </w:tcMar>
          </w:tcPr>
          <w:p>
            <w:pPr>
              <w:spacing w:after="40" w:line="252"/>
            </w:pPr>
            <w:r>
              <w:rPr>
                <w:sz w:val="19"/>
                <w:szCs w:val="19"/>
              </w:rPr>
              <w:t xml:space="preserve">2 Expliquer en langage clair · 3 Reformuler un email · 4 Préparer une réunion · 6 Note pour la direction</w:t>
            </w:r>
          </w:p>
        </w:tc>
      </w:tr>
      <w:tr>
        <w:trPr>
          <w:cantSplit/>
          <w:tblHeader w:val="false"/>
        </w:trPr>
        <w:tc>
          <w:tcPr>
            <w:tcW w:type="dxa" w:w="2400"/>
            <w:shd w:fill="F2F6FA" w:color="auto" w:val="clear"/>
            <w:tcMar>
              <w:top w:type="dxa" w:w="70"/>
              <w:left w:type="dxa" w:w="110"/>
              <w:bottom w:type="dxa" w:w="70"/>
              <w:right w:type="dxa" w:w="110"/>
            </w:tcMar>
          </w:tcPr>
          <w:p>
            <w:pPr>
              <w:spacing w:after="40" w:line="252"/>
            </w:pPr>
            <w:r>
              <w:rPr>
                <w:sz w:val="19"/>
                <w:szCs w:val="19"/>
              </w:rPr>
              <w:t xml:space="preserve">Rédaction</w:t>
            </w:r>
          </w:p>
        </w:tc>
        <w:tc>
          <w:tcPr>
            <w:tcW w:type="dxa" w:w="7200"/>
            <w:shd w:fill="F2F6FA" w:color="auto" w:val="clear"/>
            <w:tcMar>
              <w:top w:type="dxa" w:w="70"/>
              <w:left w:type="dxa" w:w="110"/>
              <w:bottom w:type="dxa" w:w="70"/>
              <w:right w:type="dxa" w:w="110"/>
            </w:tcMar>
          </w:tcPr>
          <w:p>
            <w:pPr>
              <w:spacing w:after="40" w:line="252"/>
            </w:pPr>
            <w:r>
              <w:rPr>
                <w:sz w:val="19"/>
                <w:szCs w:val="19"/>
              </w:rPr>
              <w:t xml:space="preserve">5 Traduire avec glossaire · 9 Relire et corriger</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Recherche juridique</w:t>
            </w:r>
          </w:p>
        </w:tc>
        <w:tc>
          <w:tcPr>
            <w:tcW w:type="dxa" w:w="7200"/>
            <w:tcMar>
              <w:top w:type="dxa" w:w="70"/>
              <w:left w:type="dxa" w:w="110"/>
              <w:bottom w:type="dxa" w:w="70"/>
              <w:right w:type="dxa" w:w="110"/>
            </w:tcMar>
          </w:tcPr>
          <w:p>
            <w:pPr>
              <w:spacing w:after="40" w:line="252"/>
            </w:pPr>
            <w:r>
              <w:rPr>
                <w:sz w:val="19"/>
                <w:szCs w:val="19"/>
              </w:rPr>
              <w:t xml:space="preserve">1 Synthétiser un texte long · 8 Se faire expliquer un concept</w:t>
            </w:r>
          </w:p>
        </w:tc>
      </w:tr>
      <w:tr>
        <w:trPr>
          <w:cantSplit/>
          <w:tblHeader w:val="false"/>
        </w:trPr>
        <w:tc>
          <w:tcPr>
            <w:tcW w:type="dxa" w:w="2400"/>
            <w:shd w:fill="F2F6FA" w:color="auto" w:val="clear"/>
            <w:tcMar>
              <w:top w:type="dxa" w:w="70"/>
              <w:left w:type="dxa" w:w="110"/>
              <w:bottom w:type="dxa" w:w="70"/>
              <w:right w:type="dxa" w:w="110"/>
            </w:tcMar>
          </w:tcPr>
          <w:p>
            <w:pPr>
              <w:spacing w:after="40" w:line="252"/>
            </w:pPr>
            <w:r>
              <w:rPr>
                <w:sz w:val="19"/>
                <w:szCs w:val="19"/>
              </w:rPr>
              <w:t xml:space="preserve">Risques et conformité</w:t>
            </w:r>
          </w:p>
        </w:tc>
        <w:tc>
          <w:tcPr>
            <w:tcW w:type="dxa" w:w="7200"/>
            <w:shd w:fill="F2F6FA" w:color="auto" w:val="clear"/>
            <w:tcMar>
              <w:top w:type="dxa" w:w="70"/>
              <w:left w:type="dxa" w:w="110"/>
              <w:bottom w:type="dxa" w:w="70"/>
              <w:right w:type="dxa" w:w="110"/>
            </w:tcMar>
          </w:tcPr>
          <w:p>
            <w:pPr>
              <w:spacing w:after="40" w:line="252"/>
            </w:pPr>
            <w:r>
              <w:rPr>
                <w:sz w:val="19"/>
                <w:szCs w:val="19"/>
              </w:rPr>
              <w:t xml:space="preserve">7 FAQ interne à partir d’une politique</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Analyse contractuelle</w:t>
            </w:r>
          </w:p>
        </w:tc>
        <w:tc>
          <w:tcPr>
            <w:tcW w:type="dxa" w:w="7200"/>
            <w:tcMar>
              <w:top w:type="dxa" w:w="70"/>
              <w:left w:type="dxa" w:w="110"/>
              <w:bottom w:type="dxa" w:w="70"/>
              <w:right w:type="dxa" w:w="110"/>
            </w:tcMar>
          </w:tcPr>
          <w:p>
            <w:pPr>
              <w:spacing w:after="40" w:line="252"/>
            </w:pPr>
            <w:r>
              <w:rPr>
                <w:sz w:val="19"/>
                <w:szCs w:val="19"/>
              </w:rPr>
              <w:t xml:space="preserve">10 Extraire actions et délais d’un fil d’emails</w:t>
            </w:r>
          </w:p>
        </w:tc>
      </w:tr>
    </w:tbl>
    <w:p>
      <w:pPr>
        <w:pStyle w:val="Heading3"/>
        <w:pageBreakBefore/>
      </w:pPr>
      <w:r>
        <w:t xml:space="preserve">Fiche 1  ·  Synthétiser un texte long en points d’attention</w:t>
      </w:r>
    </w:p>
    <w:p>
      <w:pPr>
        <w:spacing w:after="80"/>
      </w:pPr>
      <w:r>
        <w:rPr>
          <w:color w:val="5B6B7B"/>
          <w:sz w:val="17"/>
          <w:szCs w:val="17"/>
        </w:rPr>
        <w:t xml:space="preserve">Niveau 1  ·  Recherche juridique  ·  Capacité : Synthétiser  ·  Outils : tous  ·  Temps gagné typique : 30 à 60 minutes par texte</w:t>
      </w:r>
    </w:p>
    <w:p>
      <w:pPr>
        <w:spacing w:after="100" w:line="264"/>
      </w:pPr>
      <w:r>
        <w:rPr>
          <w:b/>
          <w:bCs/>
          <w:color w:val="10213A"/>
        </w:rPr>
        <w:t xml:space="preserve">La situation. </w:t>
      </w:r>
      <w:r>
        <w:t xml:space="preserve">Une décision de trente pages, un décret, un rapport d’autorité ou une note interne arrive sur votre bureau. Vous devez savoir en dix minutes s’il vous concerne et ce qui change.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Repère la structure et les points saillants d’un texte que vous lui donnez</w:t>
            </w:r>
          </w:p>
          <w:p>
            <w:pPr>
              <w:pStyle w:val="ListParagraph"/>
              <w:numPr>
                <w:ilvl w:val="0"/>
                <w:numId w:val="2"/>
              </w:numPr>
              <w:spacing w:after="40" w:line="252"/>
            </w:pPr>
            <w:r>
              <w:rPr>
                <w:sz w:val="19"/>
                <w:szCs w:val="19"/>
              </w:rPr>
              <w:t xml:space="preserve">Produit une synthèse hiérarchisée dans le format demandé</w:t>
            </w:r>
          </w:p>
          <w:p>
            <w:pPr>
              <w:pStyle w:val="ListParagraph"/>
              <w:numPr>
                <w:ilvl w:val="0"/>
                <w:numId w:val="2"/>
              </w:numPr>
              <w:spacing w:after="40" w:line="252"/>
            </w:pPr>
            <w:r>
              <w:rPr>
                <w:sz w:val="19"/>
                <w:szCs w:val="19"/>
              </w:rPr>
              <w:t xml:space="preserve">Cite les passages du texte fourni</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votre organisation si vous ne la décrivez pas</w:t>
            </w:r>
          </w:p>
          <w:p>
            <w:pPr>
              <w:pStyle w:val="ListParagraph"/>
              <w:numPr>
                <w:ilvl w:val="0"/>
                <w:numId w:val="2"/>
              </w:numPr>
              <w:spacing w:after="40" w:line="252"/>
            </w:pPr>
            <w:r>
              <w:rPr>
                <w:sz w:val="19"/>
                <w:szCs w:val="19"/>
              </w:rPr>
              <w:t xml:space="preserve">Ne garantit pas l’exhaustivité : un point peut manquer</w:t>
            </w:r>
          </w:p>
          <w:p>
            <w:pPr>
              <w:pStyle w:val="ListParagraph"/>
              <w:numPr>
                <w:ilvl w:val="0"/>
                <w:numId w:val="2"/>
              </w:numPr>
              <w:spacing w:after="40" w:line="252"/>
            </w:pPr>
            <w:r>
              <w:rPr>
                <w:sz w:val="19"/>
                <w:szCs w:val="19"/>
              </w:rPr>
              <w:t xml:space="preserve">N’a pas la version consolidée ou la date d’entrée en vigueur si vous ne les donnez pas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Un texte public ou un document interne non sensible se colle sans précaution. Si le document contient des données personnelles ou des informations confidentielles de tiers, retirez-les ou pseudonymisez-les avant.</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juriste d’entreprise expérimenté en </w:t>
            </w:r>
            <w:r>
              <w:rPr>
                <w:sz w:val="19"/>
                <w:szCs w:val="19"/>
                <w:highlight w:val="yellow"/>
              </w:rPr>
              <w:t xml:space="preserve">[domaine, par exemple droit des contrats]</w:t>
            </w:r>
            <w:r>
              <w:rPr>
                <w:sz w:val="19"/>
                <w:szCs w:val="19"/>
              </w:rPr>
              <w:t xml:space="preserve">.</w:t>
            </w:r>
          </w:p>
          <w:p>
            <w:pPr>
              <w:spacing w:after="70" w:line="252"/>
            </w:pPr>
            <w:r>
              <w:rPr>
                <w:b/>
                <w:bCs/>
                <w:color w:val="1D659C"/>
                <w:sz w:val="19"/>
                <w:szCs w:val="19"/>
              </w:rPr>
              <w:t xml:space="preserve">Contexte : </w:t>
            </w:r>
            <w:r>
              <w:rPr>
                <w:sz w:val="19"/>
                <w:szCs w:val="19"/>
              </w:rPr>
              <w:t xml:space="preserve">Je travaille à la direction juridique de </w:t>
            </w:r>
            <w:r>
              <w:rPr>
                <w:sz w:val="19"/>
                <w:szCs w:val="19"/>
                <w:highlight w:val="yellow"/>
              </w:rPr>
              <w:t xml:space="preserve">[type d’organisation, par exemple un groupe industriel de 12 000 personnes]</w:t>
            </w:r>
            <w:r>
              <w:rPr>
                <w:sz w:val="19"/>
                <w:szCs w:val="19"/>
              </w:rPr>
              <w:t xml:space="preserve">. Je dois décider rapidement si le texte ci-dessous a un impact pour nous.</w:t>
            </w:r>
          </w:p>
          <w:p>
            <w:pPr>
              <w:spacing w:after="70" w:line="252"/>
            </w:pPr>
            <w:r>
              <w:rPr>
                <w:b/>
                <w:bCs/>
                <w:color w:val="1D659C"/>
                <w:sz w:val="19"/>
                <w:szCs w:val="19"/>
              </w:rPr>
              <w:t xml:space="preserve">Tâche : </w:t>
            </w:r>
            <w:r>
              <w:rPr>
                <w:sz w:val="19"/>
                <w:szCs w:val="19"/>
              </w:rPr>
              <w:t xml:space="preserve">Résume le texte en trois parties : (1) de quoi il s’agit, en trois phrases ; (2) les cinq points qui changent quelque chose pour une organisation comme la nôtre ; (3) les questions que je devrais me poser. Ne complète pas avec des informations extérieures au texte.</w:t>
            </w:r>
          </w:p>
          <w:p>
            <w:pPr>
              <w:spacing w:after="70" w:line="252"/>
            </w:pPr>
            <w:r>
              <w:rPr>
                <w:b/>
                <w:bCs/>
                <w:color w:val="1D659C"/>
                <w:sz w:val="19"/>
                <w:szCs w:val="19"/>
              </w:rPr>
              <w:t xml:space="preserve">Format : </w:t>
            </w:r>
            <w:r>
              <w:rPr>
                <w:sz w:val="19"/>
                <w:szCs w:val="19"/>
              </w:rPr>
              <w:t xml:space="preserve">titres courts, phrases complètes, 400 mots maximum. Pour chaque point de la partie 2, cite entre guillemets le passage exact du texte sur lequel tu t’appuies.</w:t>
            </w:r>
          </w:p>
          <w:p>
            <w:pPr>
              <w:spacing w:after="70" w:line="252"/>
            </w:pPr>
            <w:r>
              <w:rPr>
                <w:b/>
                <w:bCs/>
                <w:color w:val="1D659C"/>
                <w:sz w:val="19"/>
                <w:szCs w:val="19"/>
              </w:rPr>
              <w:t xml:space="preserve">Vérification : </w:t>
            </w:r>
            <w:r>
              <w:rPr>
                <w:sz w:val="19"/>
                <w:szCs w:val="19"/>
              </w:rPr>
              <w:t xml:space="preserve">si un élément est incertain ou absent du texte, écris « non précisé dans le texte » plutôt que de déduire.</w:t>
            </w:r>
          </w:p>
          <w:p>
            <w:pPr>
              <w:spacing w:after="70" w:line="252"/>
            </w:pPr>
            <w:r>
              <w:rPr>
                <w:b/>
                <w:bCs/>
                <w:color w:val="1D659C"/>
                <w:sz w:val="19"/>
                <w:szCs w:val="19"/>
              </w:rPr>
              <w:t xml:space="preserve">Texte : </w:t>
            </w:r>
            <w:r>
              <w:rPr>
                <w:sz w:val="19"/>
                <w:szCs w:val="19"/>
                <w:highlight w:val="yellow"/>
              </w:rPr>
              <w:t xml:space="preserve">[coller le texte ou joindre le fichier]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Relire les cinq points face au texte : chaque citation existe-t-elle mot pour mot ?</w:t>
      </w:r>
    </w:p>
    <w:p>
      <w:pPr>
        <w:pStyle w:val="ListParagraph"/>
        <w:numPr>
          <w:ilvl w:val="0"/>
          <w:numId w:val="5"/>
        </w:numPr>
        <w:spacing w:after="60" w:line="264"/>
      </w:pPr>
      <w:r>
        <w:t xml:space="preserve">Vérifier hors de l’outil la version du texte (consolidée ?) et sa date d’entrée en vigueur.</w:t>
      </w:r>
    </w:p>
    <w:p>
      <w:pPr>
        <w:pStyle w:val="ListParagraph"/>
        <w:numPr>
          <w:ilvl w:val="0"/>
          <w:numId w:val="5"/>
        </w:numPr>
        <w:spacing w:after="60" w:line="264"/>
      </w:pPr>
      <w:r>
        <w:t xml:space="preserve">Garder la synthèse comme aide de lecture, jamais comme source dans une note.</w:t>
      </w:r>
    </w:p>
    <w:p>
      <w:pPr>
        <w:spacing w:after="80" w:before="60"/>
      </w:pPr>
      <w:r>
        <w:rPr>
          <w:b/>
          <w:bCs/>
          <w:color w:val="10213A"/>
        </w:rPr>
        <w:t xml:space="preserve">Variante. </w:t>
      </w:r>
      <w:r>
        <w:t xml:space="preserve">« Refais l’exercice en chronologie : que se passe-t-il, à quelle date, pour qui ? » ou « Quelles obligations nouvelles pèsent sur </w:t>
      </w:r>
      <w:r>
        <w:rPr>
          <w:highlight w:val="yellow"/>
        </w:rPr>
        <w:t xml:space="preserve">[fonction, par exemple le délégué à la protection des données]</w:t>
      </w:r>
      <w:r>
        <w:t xml:space="preserve"> ? »</w:t>
      </w:r>
    </w:p>
    <w:p>
      <w:pPr>
        <w:spacing w:after="80"/>
      </w:pPr>
      <w:r>
        <w:rPr>
          <w:b/>
          <w:bCs/>
          <w:color w:val="10213A"/>
        </w:rPr>
        <w:t xml:space="preserve">Par outil. </w:t>
      </w:r>
      <w:r>
        <w:t xml:space="preserve">Pour un PDF long, joignez le fichier plutôt que de coller le texte. Vérifiez que la pièce est bien lue en entier en demandant le nombre de pages et le titre de la dernière section.</w:t>
      </w:r>
    </w:p>
    <w:p>
      <w:pPr>
        <w:pStyle w:val="Heading3"/>
        <w:pageBreakBefore/>
      </w:pPr>
      <w:r>
        <w:t xml:space="preserve">Fiche 2  ·  Expliquer une clause ou un contrat en langage clair</w:t>
      </w:r>
    </w:p>
    <w:p>
      <w:pPr>
        <w:spacing w:after="80"/>
      </w:pPr>
      <w:r>
        <w:rPr>
          <w:color w:val="5B6B7B"/>
          <w:sz w:val="17"/>
          <w:szCs w:val="17"/>
        </w:rPr>
        <w:t xml:space="preserve">Niveau 1  ·  Communication  ·  Capacité : Rédiger  ·  Outils : tous  ·  Temps gagné typique : 20 à 30 minutes par demande</w:t>
      </w:r>
    </w:p>
    <w:p>
      <w:pPr>
        <w:spacing w:after="100" w:line="264"/>
      </w:pPr>
      <w:r>
        <w:rPr>
          <w:b/>
          <w:bCs/>
          <w:color w:val="10213A"/>
        </w:rPr>
        <w:t xml:space="preserve">La situation. </w:t>
      </w:r>
      <w:r>
        <w:t xml:space="preserve">Un chef de projet vous demande « ce que veut dire » la clause de responsabilité d’un contrat fournisseur. Vous voulez une explication juste, sans jargon, qu’il pourra réutiliser.</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Traduit une clause en langage courant</w:t>
            </w:r>
          </w:p>
          <w:p>
            <w:pPr>
              <w:pStyle w:val="ListParagraph"/>
              <w:numPr>
                <w:ilvl w:val="0"/>
                <w:numId w:val="2"/>
              </w:numPr>
              <w:spacing w:after="40" w:line="252"/>
            </w:pPr>
            <w:r>
              <w:rPr>
                <w:sz w:val="19"/>
                <w:szCs w:val="19"/>
              </w:rPr>
              <w:t xml:space="preserve">Propose des exemples concrets tirés du métier du lecteur</w:t>
            </w:r>
          </w:p>
          <w:p>
            <w:pPr>
              <w:pStyle w:val="ListParagraph"/>
              <w:numPr>
                <w:ilvl w:val="0"/>
                <w:numId w:val="2"/>
              </w:numPr>
              <w:spacing w:after="40" w:line="252"/>
            </w:pPr>
            <w:r>
              <w:rPr>
                <w:sz w:val="19"/>
                <w:szCs w:val="19"/>
              </w:rPr>
              <w:t xml:space="preserve">Adapte le registre au destinataire</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ni l’intention des parties ni l’historique de la négociation</w:t>
            </w:r>
          </w:p>
          <w:p>
            <w:pPr>
              <w:pStyle w:val="ListParagraph"/>
              <w:numPr>
                <w:ilvl w:val="0"/>
                <w:numId w:val="2"/>
              </w:numPr>
              <w:spacing w:after="40" w:line="252"/>
            </w:pPr>
            <w:r>
              <w:rPr>
                <w:sz w:val="19"/>
                <w:szCs w:val="19"/>
              </w:rPr>
              <w:t xml:space="preserve">Peut lisser une nuance juridiquement importante (une exclusion, un plafond, une condition)</w:t>
            </w:r>
          </w:p>
          <w:p>
            <w:pPr>
              <w:pStyle w:val="ListParagraph"/>
              <w:numPr>
                <w:ilvl w:val="0"/>
                <w:numId w:val="2"/>
              </w:numPr>
              <w:spacing w:after="40" w:line="252"/>
            </w:pPr>
            <w:r>
              <w:rPr>
                <w:sz w:val="19"/>
                <w:szCs w:val="19"/>
              </w:rPr>
              <w:t xml:space="preserve">Ne remplace pas votre avis sur ce qu’il faut faire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La clause seule, sans le nom des parties et sans les montants si l’explication n’en a pas besoin. Jamais un contrat entier reçu sous NDA dans un outil non validé.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juriste d’entreprise qui explique le droit à des non-juristes.</w:t>
            </w:r>
          </w:p>
          <w:p>
            <w:pPr>
              <w:spacing w:after="70" w:line="252"/>
            </w:pPr>
            <w:r>
              <w:rPr>
                <w:b/>
                <w:bCs/>
                <w:color w:val="1D659C"/>
                <w:sz w:val="19"/>
                <w:szCs w:val="19"/>
              </w:rPr>
              <w:t xml:space="preserve">Contexte : </w:t>
            </w:r>
            <w:r>
              <w:rPr>
                <w:sz w:val="19"/>
                <w:szCs w:val="19"/>
              </w:rPr>
              <w:t xml:space="preserve">Un </w:t>
            </w:r>
            <w:r>
              <w:rPr>
                <w:sz w:val="19"/>
                <w:szCs w:val="19"/>
                <w:highlight w:val="yellow"/>
              </w:rPr>
              <w:t xml:space="preserve">[fonction du lecteur, par exemple chef de projet informatique]</w:t>
            </w:r>
            <w:r>
              <w:rPr>
                <w:sz w:val="19"/>
                <w:szCs w:val="19"/>
              </w:rPr>
              <w:t xml:space="preserve"> doit comprendre la clause ci-dessous pour </w:t>
            </w:r>
            <w:r>
              <w:rPr>
                <w:sz w:val="19"/>
                <w:szCs w:val="19"/>
                <w:highlight w:val="yellow"/>
              </w:rPr>
              <w:t xml:space="preserve">[objectif, par exemple décider s’il accepte un avenant]</w:t>
            </w:r>
            <w:r>
              <w:rPr>
                <w:sz w:val="19"/>
                <w:szCs w:val="19"/>
              </w:rPr>
              <w:t xml:space="preserve">. Il n’a aucune formation juridique.</w:t>
            </w:r>
          </w:p>
          <w:p>
            <w:pPr>
              <w:spacing w:after="70" w:line="252"/>
            </w:pPr>
            <w:r>
              <w:rPr>
                <w:b/>
                <w:bCs/>
                <w:color w:val="1D659C"/>
                <w:sz w:val="19"/>
                <w:szCs w:val="19"/>
              </w:rPr>
              <w:t xml:space="preserve">Tâche : </w:t>
            </w:r>
            <w:r>
              <w:rPr>
                <w:sz w:val="19"/>
                <w:szCs w:val="19"/>
              </w:rPr>
              <w:t xml:space="preserve">Explique ce que dit la clause, ce qu’elle implique concrètement pour lui dans son travail quotidien et ce à quoi il doit faire attention. Signale les termes techniques et donne leur définition en une phrase.</w:t>
            </w:r>
          </w:p>
          <w:p>
            <w:pPr>
              <w:spacing w:after="70" w:line="252"/>
            </w:pPr>
            <w:r>
              <w:rPr>
                <w:b/>
                <w:bCs/>
                <w:color w:val="1D659C"/>
                <w:sz w:val="19"/>
                <w:szCs w:val="19"/>
              </w:rPr>
              <w:t xml:space="preserve">Format : </w:t>
            </w:r>
            <w:r>
              <w:rPr>
                <w:sz w:val="19"/>
                <w:szCs w:val="19"/>
              </w:rPr>
              <w:t xml:space="preserve">200 mots maximum, phrases courtes, un exemple concret tiré de son métier, puis une ligne « ce que cette explication ne couvre pas ».</w:t>
            </w:r>
          </w:p>
          <w:p>
            <w:pPr>
              <w:spacing w:after="70" w:line="252"/>
            </w:pPr>
            <w:r>
              <w:rPr>
                <w:b/>
                <w:bCs/>
                <w:color w:val="1D659C"/>
                <w:sz w:val="19"/>
                <w:szCs w:val="19"/>
              </w:rPr>
              <w:t xml:space="preserve">Vérification : </w:t>
            </w:r>
            <w:r>
              <w:rPr>
                <w:sz w:val="19"/>
                <w:szCs w:val="19"/>
              </w:rPr>
              <w:t xml:space="preserve">reste strictement fidèle au texte de la clause ; n’ajoute aucune règle que la clause ne contient pas.</w:t>
            </w:r>
          </w:p>
          <w:p>
            <w:pPr>
              <w:spacing w:after="70" w:line="252"/>
            </w:pPr>
            <w:r>
              <w:rPr>
                <w:b/>
                <w:bCs/>
                <w:color w:val="1D659C"/>
                <w:sz w:val="19"/>
                <w:szCs w:val="19"/>
              </w:rPr>
              <w:t xml:space="preserve">Clause : </w:t>
            </w:r>
            <w:r>
              <w:rPr>
                <w:sz w:val="19"/>
                <w:szCs w:val="19"/>
                <w:highlight w:val="yellow"/>
              </w:rPr>
              <w:t xml:space="preserve">[coller la clause]</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Relire l’explication en juriste : a-t-elle gommé une exclusion, un plafond, une condition ?</w:t>
      </w:r>
    </w:p>
    <w:p>
      <w:pPr>
        <w:pStyle w:val="ListParagraph"/>
        <w:numPr>
          <w:ilvl w:val="0"/>
          <w:numId w:val="5"/>
        </w:numPr>
        <w:spacing w:after="60" w:line="264"/>
      </w:pPr>
      <w:r>
        <w:t xml:space="preserve">Ajouter votre phrase de réserve (« pour un cas concret, revenez vers la direction juridique »).</w:t>
      </w:r>
    </w:p>
    <w:p>
      <w:pPr>
        <w:pStyle w:val="ListParagraph"/>
        <w:numPr>
          <w:ilvl w:val="0"/>
          <w:numId w:val="5"/>
        </w:numPr>
        <w:spacing w:after="60" w:line="264"/>
      </w:pPr>
      <w:r>
        <w:t xml:space="preserve">Ne pas laisser l’IA trancher une question d’interprétation ouverte.</w:t>
      </w:r>
    </w:p>
    <w:p>
      <w:pPr>
        <w:spacing w:after="80" w:before="60"/>
      </w:pPr>
      <w:r>
        <w:rPr>
          <w:b/>
          <w:bCs/>
          <w:color w:val="10213A"/>
        </w:rPr>
        <w:t xml:space="preserve">Variante. </w:t>
      </w:r>
      <w:r>
        <w:t xml:space="preserve">« Prépare les trois questions que ce lecteur devrait me poser après avoir lu l’explication. » Fiche associée sur app.nextstart.ai : « Expliquer un contrat en langage clair ».</w:t>
      </w:r>
    </w:p>
    <w:p>
      <w:pPr>
        <w:pStyle w:val="Heading3"/>
        <w:pageBreakBefore/>
      </w:pPr>
      <w:r>
        <w:t xml:space="preserve">Fiche 3  ·  Reformuler un email délicat</w:t>
      </w:r>
    </w:p>
    <w:p>
      <w:pPr>
        <w:spacing w:after="80"/>
      </w:pPr>
      <w:r>
        <w:rPr>
          <w:color w:val="5B6B7B"/>
          <w:sz w:val="17"/>
          <w:szCs w:val="17"/>
        </w:rPr>
        <w:t xml:space="preserve">Niveau 1  ·  Communication  ·  Capacité : Rédiger  ·  Outils : tous  ·  Temps gagné typique : 10 à 15 minutes par email</w:t>
      </w:r>
    </w:p>
    <w:p>
      <w:pPr>
        <w:spacing w:after="100" w:line="264"/>
      </w:pPr>
      <w:r>
        <w:rPr>
          <w:b/>
          <w:bCs/>
          <w:color w:val="10213A"/>
        </w:rPr>
        <w:t xml:space="preserve">La situation. </w:t>
      </w:r>
      <w:r>
        <w:t xml:space="preserve">Vous devez refuser une demande d’un opérationnel, relancer un fournisseur sur une pièce manquante ou recadrer un prestataire, en restant ferme et courtois.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Propose plusieurs tons pour le même fond</w:t>
            </w:r>
          </w:p>
          <w:p>
            <w:pPr>
              <w:pStyle w:val="ListParagraph"/>
              <w:numPr>
                <w:ilvl w:val="0"/>
                <w:numId w:val="2"/>
              </w:numPr>
              <w:spacing w:after="40" w:line="252"/>
            </w:pPr>
            <w:r>
              <w:rPr>
                <w:sz w:val="19"/>
                <w:szCs w:val="19"/>
              </w:rPr>
              <w:t xml:space="preserve">Structure le message autour d’une demande et d’une échéance</w:t>
            </w:r>
          </w:p>
          <w:p>
            <w:pPr>
              <w:pStyle w:val="ListParagraph"/>
              <w:numPr>
                <w:ilvl w:val="0"/>
                <w:numId w:val="2"/>
              </w:numPr>
              <w:spacing w:after="40" w:line="252"/>
            </w:pPr>
            <w:r>
              <w:rPr>
                <w:sz w:val="19"/>
                <w:szCs w:val="19"/>
              </w:rPr>
              <w:t xml:space="preserve">Repère les formulations agressives ou ambiguës de votre brouillon</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votre relation avec le destinataire</w:t>
            </w:r>
          </w:p>
          <w:p>
            <w:pPr>
              <w:pStyle w:val="ListParagraph"/>
              <w:numPr>
                <w:ilvl w:val="0"/>
                <w:numId w:val="2"/>
              </w:numPr>
              <w:spacing w:after="40" w:line="252"/>
            </w:pPr>
            <w:r>
              <w:rPr>
                <w:sz w:val="19"/>
                <w:szCs w:val="19"/>
              </w:rPr>
              <w:t xml:space="preserve">A tendance à allonger et à sur-polir</w:t>
            </w:r>
          </w:p>
          <w:p>
            <w:pPr>
              <w:pStyle w:val="ListParagraph"/>
              <w:numPr>
                <w:ilvl w:val="0"/>
                <w:numId w:val="2"/>
              </w:numPr>
              <w:spacing w:after="40" w:line="252"/>
            </w:pPr>
            <w:r>
              <w:rPr>
                <w:sz w:val="19"/>
                <w:szCs w:val="19"/>
              </w:rPr>
              <w:t xml:space="preserve">N’engage pas votre responsabilité : c’est vous qui envoyez</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Votre brouillon, en remplaçant noms et références de dossier par des génériques. Pas de pièce jointe confidentielle.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juriste d’entreprise reconnu pour ses écrits clairs et diplomates.</w:t>
            </w:r>
          </w:p>
          <w:p>
            <w:pPr>
              <w:spacing w:after="70" w:line="252"/>
            </w:pPr>
            <w:r>
              <w:rPr>
                <w:b/>
                <w:bCs/>
                <w:color w:val="1D659C"/>
                <w:sz w:val="19"/>
                <w:szCs w:val="19"/>
              </w:rPr>
              <w:t xml:space="preserve">Contexte : </w:t>
            </w:r>
            <w:r>
              <w:rPr>
                <w:sz w:val="19"/>
                <w:szCs w:val="19"/>
              </w:rPr>
              <w:t xml:space="preserve">Je dois envoyer l’email ci-dessous à </w:t>
            </w:r>
            <w:r>
              <w:rPr>
                <w:sz w:val="19"/>
                <w:szCs w:val="19"/>
                <w:highlight w:val="yellow"/>
              </w:rPr>
              <w:t xml:space="preserve">[destinataire, par exemple un fournisseur avec qui nous voulons garder une bonne relation]</w:t>
            </w:r>
            <w:r>
              <w:rPr>
                <w:sz w:val="19"/>
                <w:szCs w:val="19"/>
              </w:rPr>
              <w:t xml:space="preserve">. Enjeu : </w:t>
            </w:r>
            <w:r>
              <w:rPr>
                <w:sz w:val="19"/>
                <w:szCs w:val="19"/>
                <w:highlight w:val="yellow"/>
              </w:rPr>
              <w:t xml:space="preserve">[par exemple obtenir la pièce sous cinq jours sans dégrader la relation]</w:t>
            </w:r>
            <w:r>
              <w:rPr>
                <w:sz w:val="19"/>
                <w:szCs w:val="19"/>
              </w:rPr>
              <w:t xml:space="preserve">.</w:t>
            </w:r>
          </w:p>
          <w:p>
            <w:pPr>
              <w:spacing w:after="70" w:line="252"/>
            </w:pPr>
            <w:r>
              <w:rPr>
                <w:b/>
                <w:bCs/>
                <w:color w:val="1D659C"/>
                <w:sz w:val="19"/>
                <w:szCs w:val="19"/>
              </w:rPr>
              <w:t xml:space="preserve">Tâche : </w:t>
            </w:r>
            <w:r>
              <w:rPr>
                <w:sz w:val="19"/>
                <w:szCs w:val="19"/>
              </w:rPr>
              <w:t xml:space="preserve">Réécris mon brouillon en trois versions : ferme, neutre, chaleureuse. Garde tous les faits et toutes les dates de mon brouillon, n’en invente aucun. Dans chaque version, une seule demande claire et une échéance.</w:t>
            </w:r>
          </w:p>
          <w:p>
            <w:pPr>
              <w:spacing w:after="70" w:line="252"/>
            </w:pPr>
            <w:r>
              <w:rPr>
                <w:b/>
                <w:bCs/>
                <w:color w:val="1D659C"/>
                <w:sz w:val="19"/>
                <w:szCs w:val="19"/>
              </w:rPr>
              <w:t xml:space="preserve">Format : </w:t>
            </w:r>
            <w:r>
              <w:rPr>
                <w:sz w:val="19"/>
                <w:szCs w:val="19"/>
              </w:rPr>
              <w:t xml:space="preserve">trois blocs titrés, 120 mots maximum chacun, un objet d’email proposé pour chaque version.</w:t>
            </w:r>
          </w:p>
          <w:p>
            <w:pPr>
              <w:spacing w:after="70" w:line="252"/>
            </w:pPr>
            <w:r>
              <w:rPr>
                <w:b/>
                <w:bCs/>
                <w:color w:val="1D659C"/>
                <w:sz w:val="19"/>
                <w:szCs w:val="19"/>
              </w:rPr>
              <w:t xml:space="preserve">Vérification : </w:t>
            </w:r>
            <w:r>
              <w:rPr>
                <w:sz w:val="19"/>
                <w:szCs w:val="19"/>
              </w:rPr>
              <w:t xml:space="preserve">liste ensuite, en deux lignes, ce que tu as retiré de mon brouillon et pourquoi.</w:t>
            </w:r>
          </w:p>
          <w:p>
            <w:pPr>
              <w:spacing w:after="70" w:line="252"/>
            </w:pPr>
            <w:r>
              <w:rPr>
                <w:b/>
                <w:bCs/>
                <w:color w:val="1D659C"/>
                <w:sz w:val="19"/>
                <w:szCs w:val="19"/>
              </w:rPr>
              <w:t xml:space="preserve">Brouillon : </w:t>
            </w:r>
            <w:r>
              <w:rPr>
                <w:sz w:val="19"/>
                <w:szCs w:val="19"/>
                <w:highlight w:val="yellow"/>
              </w:rPr>
              <w:t xml:space="preserve">[coller le brouillon]</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Vérifier que dates, montants et références sont inchangés.</w:t>
      </w:r>
    </w:p>
    <w:p>
      <w:pPr>
        <w:pStyle w:val="ListParagraph"/>
        <w:numPr>
          <w:ilvl w:val="0"/>
          <w:numId w:val="5"/>
        </w:numPr>
        <w:spacing w:after="60" w:line="264"/>
      </w:pPr>
      <w:r>
        <w:t xml:space="preserve">Relire la version choisie à voix haute : est-ce votre voix ?</w:t>
      </w:r>
    </w:p>
    <w:p>
      <w:pPr>
        <w:pStyle w:val="ListParagraph"/>
        <w:numPr>
          <w:ilvl w:val="0"/>
          <w:numId w:val="5"/>
        </w:numPr>
        <w:spacing w:after="60" w:line="264"/>
      </w:pPr>
      <w:r>
        <w:t xml:space="preserve">Supprimer les formules creuses que l’IA ajoute volontiers.</w:t>
      </w:r>
    </w:p>
    <w:p>
      <w:pPr>
        <w:spacing w:after="80" w:before="60"/>
      </w:pPr>
      <w:r>
        <w:rPr>
          <w:b/>
          <w:bCs/>
          <w:color w:val="10213A"/>
        </w:rPr>
        <w:t xml:space="preserve">Variante. </w:t>
      </w:r>
      <w:r>
        <w:t xml:space="preserve">« Même exercice pour une réponse en anglais à un partenaire britannique, registre professionnel, 100 mots. »</w:t>
      </w:r>
    </w:p>
    <w:p>
      <w:pPr>
        <w:pStyle w:val="Heading3"/>
        <w:pageBreakBefore/>
      </w:pPr>
      <w:r>
        <w:t xml:space="preserve">Fiche 4  ·  Préparer une réunion à partir d’un dossier</w:t>
      </w:r>
    </w:p>
    <w:p>
      <w:pPr>
        <w:spacing w:after="80"/>
      </w:pPr>
      <w:r>
        <w:rPr>
          <w:color w:val="5B6B7B"/>
          <w:sz w:val="17"/>
          <w:szCs w:val="17"/>
        </w:rPr>
        <w:t xml:space="preserve">Niveau 1  ·  Communication  ·  Capacité : Synthétiser  ·  Outils : tous  ·  Temps gagné typique : 30 minutes par réunion</w:t>
      </w:r>
    </w:p>
    <w:p>
      <w:pPr>
        <w:spacing w:after="100" w:line="264"/>
      </w:pPr>
      <w:r>
        <w:rPr>
          <w:b/>
          <w:bCs/>
          <w:color w:val="10213A"/>
        </w:rPr>
        <w:t xml:space="preserve">La situation. </w:t>
      </w:r>
      <w:r>
        <w:t xml:space="preserve">Réunion demain avec un métier ou un partenaire sur un dossier que vous connaissez mal. Vous avez la dernière note, deux emails et un compte rendu.</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Extrait les faits, les décisions passées et les points ouverts</w:t>
            </w:r>
          </w:p>
          <w:p>
            <w:pPr>
              <w:pStyle w:val="ListParagraph"/>
              <w:numPr>
                <w:ilvl w:val="0"/>
                <w:numId w:val="2"/>
              </w:numPr>
              <w:spacing w:after="40" w:line="252"/>
            </w:pPr>
            <w:r>
              <w:rPr>
                <w:sz w:val="19"/>
                <w:szCs w:val="19"/>
              </w:rPr>
              <w:t xml:space="preserve">Propose un ordre du jour et des questions classées</w:t>
            </w:r>
          </w:p>
          <w:p>
            <w:pPr>
              <w:pStyle w:val="ListParagraph"/>
              <w:numPr>
                <w:ilvl w:val="0"/>
                <w:numId w:val="2"/>
              </w:numPr>
              <w:spacing w:after="40" w:line="252"/>
            </w:pPr>
            <w:r>
              <w:rPr>
                <w:sz w:val="19"/>
                <w:szCs w:val="19"/>
              </w:rPr>
              <w:t xml:space="preserve">Repère les incohérences entre documents</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les jeux d’acteurs ni ce qui est sensible</w:t>
            </w:r>
          </w:p>
          <w:p>
            <w:pPr>
              <w:pStyle w:val="ListParagraph"/>
              <w:numPr>
                <w:ilvl w:val="0"/>
                <w:numId w:val="2"/>
              </w:numPr>
              <w:spacing w:after="40" w:line="252"/>
            </w:pPr>
            <w:r>
              <w:rPr>
                <w:sz w:val="19"/>
                <w:szCs w:val="19"/>
              </w:rPr>
              <w:t xml:space="preserve">Peut transformer une hypothèse en décision si les documents sont ambigus</w:t>
            </w:r>
          </w:p>
          <w:p>
            <w:pPr>
              <w:pStyle w:val="ListParagraph"/>
              <w:numPr>
                <w:ilvl w:val="0"/>
                <w:numId w:val="2"/>
              </w:numPr>
              <w:spacing w:after="40" w:line="252"/>
            </w:pPr>
            <w:r>
              <w:rPr>
                <w:sz w:val="19"/>
                <w:szCs w:val="19"/>
              </w:rPr>
              <w:t xml:space="preserve">Ne sait pas ce qui a été dit oralement</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Les documents pseudonymisés : initiales ou rôles à la place des noms, sans les éléments couverts par un secret (montants de négociation, données personnelles).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le juriste référent d’un dossier et tu prépares une réunion.</w:t>
            </w:r>
          </w:p>
          <w:p>
            <w:pPr>
              <w:spacing w:after="70" w:line="252"/>
            </w:pPr>
            <w:r>
              <w:rPr>
                <w:b/>
                <w:bCs/>
                <w:color w:val="1D659C"/>
                <w:sz w:val="19"/>
                <w:szCs w:val="19"/>
              </w:rPr>
              <w:t xml:space="preserve">Contexte : </w:t>
            </w:r>
            <w:r>
              <w:rPr>
                <w:sz w:val="19"/>
                <w:szCs w:val="19"/>
              </w:rPr>
              <w:t xml:space="preserve">Réunion de </w:t>
            </w:r>
            <w:r>
              <w:rPr>
                <w:sz w:val="19"/>
                <w:szCs w:val="19"/>
                <w:highlight w:val="yellow"/>
              </w:rPr>
              <w:t xml:space="preserve">[durée]</w:t>
            </w:r>
            <w:r>
              <w:rPr>
                <w:sz w:val="19"/>
                <w:szCs w:val="19"/>
              </w:rPr>
              <w:t xml:space="preserve"> demain avec </w:t>
            </w:r>
            <w:r>
              <w:rPr>
                <w:sz w:val="19"/>
                <w:szCs w:val="19"/>
                <w:highlight w:val="yellow"/>
              </w:rPr>
              <w:t xml:space="preserve">[participants, par rôle]</w:t>
            </w:r>
            <w:r>
              <w:rPr>
                <w:sz w:val="19"/>
                <w:szCs w:val="19"/>
              </w:rPr>
              <w:t xml:space="preserve"> au sujet de </w:t>
            </w:r>
            <w:r>
              <w:rPr>
                <w:sz w:val="19"/>
                <w:szCs w:val="19"/>
                <w:highlight w:val="yellow"/>
              </w:rPr>
              <w:t xml:space="preserve">[objet]</w:t>
            </w:r>
            <w:r>
              <w:rPr>
                <w:sz w:val="19"/>
                <w:szCs w:val="19"/>
              </w:rPr>
              <w:t xml:space="preserve">. Objectif de la réunion : </w:t>
            </w:r>
            <w:r>
              <w:rPr>
                <w:sz w:val="19"/>
                <w:szCs w:val="19"/>
                <w:highlight w:val="yellow"/>
              </w:rPr>
              <w:t xml:space="preserve">[par exemple arrêter notre position sur la clause de pénalités]</w:t>
            </w:r>
            <w:r>
              <w:rPr>
                <w:sz w:val="19"/>
                <w:szCs w:val="19"/>
              </w:rPr>
              <w:t xml:space="preserve">. Documents ci-dessous : une note, deux emails, un compte rendu.</w:t>
            </w:r>
          </w:p>
          <w:p>
            <w:pPr>
              <w:spacing w:after="70" w:line="252"/>
            </w:pPr>
            <w:r>
              <w:rPr>
                <w:b/>
                <w:bCs/>
                <w:color w:val="1D659C"/>
                <w:sz w:val="19"/>
                <w:szCs w:val="19"/>
              </w:rPr>
              <w:t xml:space="preserve">Tâche : </w:t>
            </w:r>
            <w:r>
              <w:rPr>
                <w:sz w:val="19"/>
                <w:szCs w:val="19"/>
              </w:rPr>
              <w:t xml:space="preserve">(1) Rappelle les faits et les décisions déjà actées, avec la source (quel document). (2) Liste les points encore ouverts. (3) Propose un ordre du jour en quatre points chronométrés. (4) Formule six questions à poser, de la plus importante à la moins importante. (5) Signale toute contradiction entre les documents.</w:t>
            </w:r>
          </w:p>
          <w:p>
            <w:pPr>
              <w:spacing w:after="70" w:line="252"/>
            </w:pPr>
            <w:r>
              <w:rPr>
                <w:b/>
                <w:bCs/>
                <w:color w:val="1D659C"/>
                <w:sz w:val="19"/>
                <w:szCs w:val="19"/>
              </w:rPr>
              <w:t xml:space="preserve">Format : </w:t>
            </w:r>
            <w:r>
              <w:rPr>
                <w:sz w:val="19"/>
                <w:szCs w:val="19"/>
              </w:rPr>
              <w:t xml:space="preserve">listes numérotées, une page maximum.</w:t>
            </w:r>
          </w:p>
          <w:p>
            <w:pPr>
              <w:spacing w:after="70" w:line="252"/>
            </w:pPr>
            <w:r>
              <w:rPr>
                <w:b/>
                <w:bCs/>
                <w:color w:val="1D659C"/>
                <w:sz w:val="19"/>
                <w:szCs w:val="19"/>
              </w:rPr>
              <w:t xml:space="preserve">Vérification : </w:t>
            </w:r>
            <w:r>
              <w:rPr>
                <w:sz w:val="19"/>
                <w:szCs w:val="19"/>
              </w:rPr>
              <w:t xml:space="preserve">n’invente aucune décision ; si un point n’apparaît dans aucun document, écris « à confirmer ».</w:t>
            </w:r>
          </w:p>
          <w:p>
            <w:pPr>
              <w:spacing w:after="70" w:line="252"/>
            </w:pPr>
            <w:r>
              <w:rPr>
                <w:b/>
                <w:bCs/>
                <w:color w:val="1D659C"/>
                <w:sz w:val="19"/>
                <w:szCs w:val="19"/>
              </w:rPr>
              <w:t xml:space="preserve">Documents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Croiser chaque « décision actée » avec le document cité.</w:t>
      </w:r>
    </w:p>
    <w:p>
      <w:pPr>
        <w:pStyle w:val="ListParagraph"/>
        <w:numPr>
          <w:ilvl w:val="0"/>
          <w:numId w:val="5"/>
        </w:numPr>
        <w:spacing w:after="60" w:line="264"/>
      </w:pPr>
      <w:r>
        <w:t xml:space="preserve">Repasser les questions sous l’angle « que veut vraiment obtenir chaque participant ? »</w:t>
      </w:r>
    </w:p>
    <w:p>
      <w:pPr>
        <w:pStyle w:val="ListParagraph"/>
        <w:numPr>
          <w:ilvl w:val="0"/>
          <w:numId w:val="5"/>
        </w:numPr>
        <w:spacing w:after="60" w:line="264"/>
      </w:pPr>
      <w:r>
        <w:t xml:space="preserve">Garder le plan pour vous : il ne s’envoie pas tel quel.</w:t>
      </w:r>
    </w:p>
    <w:p>
      <w:pPr>
        <w:spacing w:after="80" w:before="60"/>
      </w:pPr>
      <w:r>
        <w:rPr>
          <w:b/>
          <w:bCs/>
          <w:color w:val="10213A"/>
        </w:rPr>
        <w:t xml:space="preserve">Variante. </w:t>
      </w:r>
      <w:r>
        <w:t xml:space="preserve">Après la réunion : « Voici mes notes brutes. Produis un compte rendu en trois parties : décisions, actions (qui, quoi, quand), points ouverts. N’ajoute rien qui ne soit dans mes notes. »</w:t>
      </w:r>
    </w:p>
    <w:p>
      <w:pPr>
        <w:pStyle w:val="Heading3"/>
        <w:pageBreakBefore/>
      </w:pPr>
      <w:r>
        <w:t xml:space="preserve">Fiche 5  ·  Traduire un document juridique avec glossaire</w:t>
      </w:r>
    </w:p>
    <w:p>
      <w:pPr>
        <w:spacing w:after="80"/>
      </w:pPr>
      <w:r>
        <w:rPr>
          <w:color w:val="5B6B7B"/>
          <w:sz w:val="17"/>
          <w:szCs w:val="17"/>
        </w:rPr>
        <w:t xml:space="preserve">Niveau 1  ·  Rédaction  ·  Capacité : Rédiger  ·  Outils : tous  ·  Temps gagné typique : 1 à 2 heures par document</w:t>
      </w:r>
    </w:p>
    <w:p>
      <w:pPr>
        <w:spacing w:after="100" w:line="264"/>
      </w:pPr>
      <w:r>
        <w:rPr>
          <w:b/>
          <w:bCs/>
          <w:color w:val="10213A"/>
        </w:rPr>
        <w:t xml:space="preserve">La situation. </w:t>
      </w:r>
      <w:r>
        <w:t xml:space="preserve">Un accord de confidentialité, une politique interne ou un courrier doit partir en anglais, ou arriver du néerlandais. La traduction doit être fidèle et la terminologie cohérente avec vos autres documents.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Traduit vite avec un registre juridique</w:t>
            </w:r>
          </w:p>
          <w:p>
            <w:pPr>
              <w:pStyle w:val="ListParagraph"/>
              <w:numPr>
                <w:ilvl w:val="0"/>
                <w:numId w:val="2"/>
              </w:numPr>
              <w:spacing w:after="40" w:line="252"/>
            </w:pPr>
            <w:r>
              <w:rPr>
                <w:sz w:val="19"/>
                <w:szCs w:val="19"/>
              </w:rPr>
              <w:t xml:space="preserve">Respecte un glossaire imposé</w:t>
            </w:r>
          </w:p>
          <w:p>
            <w:pPr>
              <w:pStyle w:val="ListParagraph"/>
              <w:numPr>
                <w:ilvl w:val="0"/>
                <w:numId w:val="2"/>
              </w:numPr>
              <w:spacing w:after="40" w:line="252"/>
            </w:pPr>
            <w:r>
              <w:rPr>
                <w:sz w:val="19"/>
                <w:szCs w:val="19"/>
              </w:rPr>
              <w:t xml:space="preserve">Signale les termes sans équivalent exact</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maîtrise pas les concepts propres à chaque droit : une clause résolutoire n’est pas exactement une termination clause</w:t>
            </w:r>
          </w:p>
          <w:p>
            <w:pPr>
              <w:pStyle w:val="ListParagraph"/>
              <w:numPr>
                <w:ilvl w:val="0"/>
                <w:numId w:val="2"/>
              </w:numPr>
              <w:spacing w:after="40" w:line="252"/>
            </w:pPr>
            <w:r>
              <w:rPr>
                <w:sz w:val="19"/>
                <w:szCs w:val="19"/>
              </w:rPr>
              <w:t xml:space="preserve">Peut lisser une ambiguïté voulue par le rédacteur</w:t>
            </w:r>
          </w:p>
          <w:p>
            <w:pPr>
              <w:pStyle w:val="ListParagraph"/>
              <w:numPr>
                <w:ilvl w:val="0"/>
                <w:numId w:val="2"/>
              </w:numPr>
              <w:spacing w:after="40" w:line="252"/>
            </w:pPr>
            <w:r>
              <w:rPr>
                <w:sz w:val="19"/>
                <w:szCs w:val="19"/>
              </w:rPr>
              <w:t xml:space="preserve">Ne produit pas une traduction certifiée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 texte pseudonymisé (parties, montants, données personnelles remplacés), dans un outil validé si le document est confidentiel.</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traducteur juridique du </w:t>
            </w:r>
            <w:r>
              <w:rPr>
                <w:sz w:val="19"/>
                <w:szCs w:val="19"/>
                <w:highlight w:val="yellow"/>
              </w:rPr>
              <w:t xml:space="preserve">[langue source]</w:t>
            </w:r>
            <w:r>
              <w:rPr>
                <w:sz w:val="19"/>
                <w:szCs w:val="19"/>
              </w:rPr>
              <w:t xml:space="preserve"> vers </w:t>
            </w:r>
            <w:r>
              <w:rPr>
                <w:sz w:val="19"/>
                <w:szCs w:val="19"/>
                <w:highlight w:val="yellow"/>
              </w:rPr>
              <w:t xml:space="preserve">[langue cible]</w:t>
            </w:r>
            <w:r>
              <w:rPr>
                <w:sz w:val="19"/>
                <w:szCs w:val="19"/>
              </w:rPr>
              <w:t xml:space="preserve">, habitué aux contrats de droit </w:t>
            </w:r>
            <w:r>
              <w:rPr>
                <w:sz w:val="19"/>
                <w:szCs w:val="19"/>
                <w:highlight w:val="yellow"/>
              </w:rPr>
              <w:t xml:space="preserve">[français]</w:t>
            </w:r>
            <w:r>
              <w:rPr>
                <w:sz w:val="19"/>
                <w:szCs w:val="19"/>
              </w:rPr>
              <w:t xml:space="preserve"> destinés à des lecteurs de </w:t>
            </w:r>
            <w:r>
              <w:rPr>
                <w:sz w:val="19"/>
                <w:szCs w:val="19"/>
                <w:highlight w:val="yellow"/>
              </w:rPr>
              <w:t xml:space="preserve">[pays]</w:t>
            </w:r>
            <w:r>
              <w:rPr>
                <w:sz w:val="19"/>
                <w:szCs w:val="19"/>
              </w:rPr>
              <w:t xml:space="preserve">.</w:t>
            </w:r>
          </w:p>
          <w:p>
            <w:pPr>
              <w:spacing w:after="70" w:line="252"/>
            </w:pPr>
            <w:r>
              <w:rPr>
                <w:b/>
                <w:bCs/>
                <w:color w:val="1D659C"/>
                <w:sz w:val="19"/>
                <w:szCs w:val="19"/>
              </w:rPr>
              <w:t xml:space="preserve">Contexte : </w:t>
            </w:r>
            <w:r>
              <w:rPr>
                <w:sz w:val="19"/>
                <w:szCs w:val="19"/>
              </w:rPr>
              <w:t xml:space="preserve">Le document ci-dessous est </w:t>
            </w:r>
            <w:r>
              <w:rPr>
                <w:sz w:val="19"/>
                <w:szCs w:val="19"/>
                <w:highlight w:val="yellow"/>
              </w:rPr>
              <w:t xml:space="preserve">[type, par exemple un accord de confidentialité]</w:t>
            </w:r>
            <w:r>
              <w:rPr>
                <w:sz w:val="19"/>
                <w:szCs w:val="19"/>
              </w:rPr>
              <w:t xml:space="preserve">. Il sera lu par </w:t>
            </w:r>
            <w:r>
              <w:rPr>
                <w:sz w:val="19"/>
                <w:szCs w:val="19"/>
                <w:highlight w:val="yellow"/>
              </w:rPr>
              <w:t xml:space="preserve">[lecteurs]</w:t>
            </w:r>
            <w:r>
              <w:rPr>
                <w:sz w:val="19"/>
                <w:szCs w:val="19"/>
              </w:rPr>
              <w:t xml:space="preserve">. Terminologie imposée : </w:t>
            </w:r>
            <w:r>
              <w:rPr>
                <w:sz w:val="19"/>
                <w:szCs w:val="19"/>
                <w:highlight w:val="yellow"/>
              </w:rPr>
              <w:t xml:space="preserve">[liste de termes et leur traduction, ou « aucune »]</w:t>
            </w:r>
            <w:r>
              <w:rPr>
                <w:sz w:val="19"/>
                <w:szCs w:val="19"/>
              </w:rPr>
              <w:t xml:space="preserve">.</w:t>
            </w:r>
          </w:p>
          <w:p>
            <w:pPr>
              <w:spacing w:after="70" w:line="252"/>
            </w:pPr>
            <w:r>
              <w:rPr>
                <w:b/>
                <w:bCs/>
                <w:color w:val="1D659C"/>
                <w:sz w:val="19"/>
                <w:szCs w:val="19"/>
              </w:rPr>
              <w:t xml:space="preserve">Tâche : </w:t>
            </w:r>
            <w:r>
              <w:rPr>
                <w:sz w:val="19"/>
                <w:szCs w:val="19"/>
              </w:rPr>
              <w:t xml:space="preserve">Traduis fidèlement, sans résumer ni reformuler. Conserve la numérotation et la structure. Quand un terme n’a pas d’équivalent exact, garde le terme d’origine entre parenthèses après ta proposition.</w:t>
            </w:r>
          </w:p>
          <w:p>
            <w:pPr>
              <w:spacing w:after="70" w:line="252"/>
            </w:pPr>
            <w:r>
              <w:rPr>
                <w:b/>
                <w:bCs/>
                <w:color w:val="1D659C"/>
                <w:sz w:val="19"/>
                <w:szCs w:val="19"/>
              </w:rPr>
              <w:t xml:space="preserve">Format : </w:t>
            </w:r>
            <w:r>
              <w:rPr>
                <w:sz w:val="19"/>
                <w:szCs w:val="19"/>
              </w:rPr>
              <w:t xml:space="preserve">la traduction, puis un tableau « terme source | traduction retenue | commentaire » pour les termes juridiques importants et les faux amis.</w:t>
            </w:r>
          </w:p>
          <w:p>
            <w:pPr>
              <w:spacing w:after="70" w:line="252"/>
            </w:pPr>
            <w:r>
              <w:rPr>
                <w:b/>
                <w:bCs/>
                <w:color w:val="1D659C"/>
                <w:sz w:val="19"/>
                <w:szCs w:val="19"/>
              </w:rPr>
              <w:t xml:space="preserve">Vérification : </w:t>
            </w:r>
            <w:r>
              <w:rPr>
                <w:sz w:val="19"/>
                <w:szCs w:val="19"/>
              </w:rPr>
              <w:t xml:space="preserve">indique en fin de réponse les trois passages dont la traduction te paraît la moins certaine.</w:t>
            </w:r>
          </w:p>
          <w:p>
            <w:pPr>
              <w:spacing w:after="70" w:line="252"/>
            </w:pPr>
            <w:r>
              <w:rPr>
                <w:b/>
                <w:bCs/>
                <w:color w:val="1D659C"/>
                <w:sz w:val="19"/>
                <w:szCs w:val="19"/>
              </w:rPr>
              <w:t xml:space="preserve">Texte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Relire les trois passages signalés et les définitions.</w:t>
      </w:r>
    </w:p>
    <w:p>
      <w:pPr>
        <w:pStyle w:val="ListParagraph"/>
        <w:numPr>
          <w:ilvl w:val="0"/>
          <w:numId w:val="5"/>
        </w:numPr>
        <w:spacing w:after="60" w:line="264"/>
      </w:pPr>
      <w:r>
        <w:t xml:space="preserve">Faire vérifier les clauses à enjeu (loi applicable, juridiction, responsabilité) par un juriste de la langue cible quand c’est possible.</w:t>
      </w:r>
    </w:p>
    <w:p>
      <w:pPr>
        <w:pStyle w:val="ListParagraph"/>
        <w:numPr>
          <w:ilvl w:val="0"/>
          <w:numId w:val="5"/>
        </w:numPr>
        <w:spacing w:after="60" w:line="264"/>
      </w:pPr>
      <w:r>
        <w:t xml:space="preserve">Conserver le glossaire : il servira aux prochains documents.</w:t>
      </w:r>
    </w:p>
    <w:p>
      <w:pPr>
        <w:spacing w:after="80" w:before="60"/>
      </w:pPr>
      <w:r>
        <w:rPr>
          <w:b/>
          <w:bCs/>
          <w:color w:val="10213A"/>
        </w:rPr>
        <w:t xml:space="preserve">Variante. </w:t>
      </w:r>
      <w:r>
        <w:t xml:space="preserve">« Compare ma traduction ci-dessous avec le texte source et liste uniquement les écarts de sens, pas de style. »</w:t>
      </w:r>
    </w:p>
    <w:p>
      <w:pPr>
        <w:pStyle w:val="Heading3"/>
        <w:pageBreakBefore/>
      </w:pPr>
      <w:r>
        <w:t xml:space="preserve">Fiche 6  ·  Transformer une note juridique en message pour la direction</w:t>
      </w:r>
    </w:p>
    <w:p>
      <w:pPr>
        <w:spacing w:after="80"/>
      </w:pPr>
      <w:r>
        <w:rPr>
          <w:color w:val="5B6B7B"/>
          <w:sz w:val="17"/>
          <w:szCs w:val="17"/>
        </w:rPr>
        <w:t xml:space="preserve">Niveau 1  ·  Communication  ·  Capacité : Synthétiser  ·  Outils : tous  ·  Temps gagné typique : 30 minutes par note</w:t>
      </w:r>
    </w:p>
    <w:p>
      <w:pPr>
        <w:spacing w:after="100" w:line="264"/>
      </w:pPr>
      <w:r>
        <w:rPr>
          <w:b/>
          <w:bCs/>
          <w:color w:val="10213A"/>
        </w:rPr>
        <w:t xml:space="preserve">La situation. </w:t>
      </w:r>
      <w:r>
        <w:t xml:space="preserve">Votre note de six pages est prête. Le comité de direction veut trois points et une décision à prendre, sur une demi-page.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Hiérarchise et coupe</w:t>
            </w:r>
          </w:p>
          <w:p>
            <w:pPr>
              <w:pStyle w:val="ListParagraph"/>
              <w:numPr>
                <w:ilvl w:val="0"/>
                <w:numId w:val="2"/>
              </w:numPr>
              <w:spacing w:after="40" w:line="252"/>
            </w:pPr>
            <w:r>
              <w:rPr>
                <w:sz w:val="19"/>
                <w:szCs w:val="19"/>
              </w:rPr>
              <w:t xml:space="preserve">Traduit un risque juridique en conséquence opérationnelle</w:t>
            </w:r>
          </w:p>
          <w:p>
            <w:pPr>
              <w:pStyle w:val="ListParagraph"/>
              <w:numPr>
                <w:ilvl w:val="0"/>
                <w:numId w:val="2"/>
              </w:numPr>
              <w:spacing w:after="40" w:line="252"/>
            </w:pPr>
            <w:r>
              <w:rPr>
                <w:sz w:val="19"/>
                <w:szCs w:val="19"/>
              </w:rPr>
              <w:t xml:space="preserve">Adopte le format « décision attendue »</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sait pas ce que la direction connaît déjà</w:t>
            </w:r>
          </w:p>
          <w:p>
            <w:pPr>
              <w:pStyle w:val="ListParagraph"/>
              <w:numPr>
                <w:ilvl w:val="0"/>
                <w:numId w:val="2"/>
              </w:numPr>
              <w:spacing w:after="40" w:line="252"/>
            </w:pPr>
            <w:r>
              <w:rPr>
                <w:sz w:val="19"/>
                <w:szCs w:val="19"/>
              </w:rPr>
              <w:t xml:space="preserve">Peut sur-simplifier une réserve importante</w:t>
            </w:r>
          </w:p>
          <w:p>
            <w:pPr>
              <w:pStyle w:val="ListParagraph"/>
              <w:numPr>
                <w:ilvl w:val="0"/>
                <w:numId w:val="2"/>
              </w:numPr>
              <w:spacing w:after="40" w:line="252"/>
            </w:pPr>
            <w:r>
              <w:rPr>
                <w:sz w:val="19"/>
                <w:szCs w:val="19"/>
              </w:rPr>
              <w:t xml:space="preserve">Ne porte pas votre recommandation à votre place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Votre propre note, pseudonymisée si elle concerne un contentieux ou un tiers identifiable.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directeur juridique et tu t’adresses au comité de direction de </w:t>
            </w:r>
            <w:r>
              <w:rPr>
                <w:sz w:val="19"/>
                <w:szCs w:val="19"/>
                <w:highlight w:val="yellow"/>
              </w:rPr>
              <w:t xml:space="preserve">[organisation]</w:t>
            </w:r>
            <w:r>
              <w:rPr>
                <w:sz w:val="19"/>
                <w:szCs w:val="19"/>
              </w:rPr>
              <w:t xml:space="preserve">.</w:t>
            </w:r>
          </w:p>
          <w:p>
            <w:pPr>
              <w:spacing w:after="70" w:line="252"/>
            </w:pPr>
            <w:r>
              <w:rPr>
                <w:b/>
                <w:bCs/>
                <w:color w:val="1D659C"/>
                <w:sz w:val="19"/>
                <w:szCs w:val="19"/>
              </w:rPr>
              <w:t xml:space="preserve">Contexte : </w:t>
            </w:r>
            <w:r>
              <w:rPr>
                <w:sz w:val="19"/>
                <w:szCs w:val="19"/>
              </w:rPr>
              <w:t xml:space="preserve">Ma note ci-dessous analyse </w:t>
            </w:r>
            <w:r>
              <w:rPr>
                <w:sz w:val="19"/>
                <w:szCs w:val="19"/>
                <w:highlight w:val="yellow"/>
              </w:rPr>
              <w:t xml:space="preserve">[sujet]</w:t>
            </w:r>
            <w:r>
              <w:rPr>
                <w:sz w:val="19"/>
                <w:szCs w:val="19"/>
              </w:rPr>
              <w:t xml:space="preserve">. La direction sait déjà </w:t>
            </w:r>
            <w:r>
              <w:rPr>
                <w:sz w:val="19"/>
                <w:szCs w:val="19"/>
                <w:highlight w:val="yellow"/>
              </w:rPr>
              <w:t xml:space="preserve">[ce qu’elle connaît du dossier]</w:t>
            </w:r>
            <w:r>
              <w:rPr>
                <w:sz w:val="19"/>
                <w:szCs w:val="19"/>
              </w:rPr>
              <w:t xml:space="preserve">. Elle doit décider </w:t>
            </w:r>
            <w:r>
              <w:rPr>
                <w:sz w:val="19"/>
                <w:szCs w:val="19"/>
                <w:highlight w:val="yellow"/>
              </w:rPr>
              <w:t xml:space="preserve">[la décision attendue]</w:t>
            </w:r>
            <w:r>
              <w:rPr>
                <w:sz w:val="19"/>
                <w:szCs w:val="19"/>
              </w:rPr>
              <w:t xml:space="preserve"> lors du comité du </w:t>
            </w:r>
            <w:r>
              <w:rPr>
                <w:sz w:val="19"/>
                <w:szCs w:val="19"/>
                <w:highlight w:val="yellow"/>
              </w:rPr>
              <w:t xml:space="preserve">[date]</w:t>
            </w:r>
            <w:r>
              <w:rPr>
                <w:sz w:val="19"/>
                <w:szCs w:val="19"/>
              </w:rPr>
              <w:t xml:space="preserve">.</w:t>
            </w:r>
          </w:p>
          <w:p>
            <w:pPr>
              <w:spacing w:after="70" w:line="252"/>
            </w:pPr>
            <w:r>
              <w:rPr>
                <w:b/>
                <w:bCs/>
                <w:color w:val="1D659C"/>
                <w:sz w:val="19"/>
                <w:szCs w:val="19"/>
              </w:rPr>
              <w:t xml:space="preserve">Tâche : </w:t>
            </w:r>
            <w:r>
              <w:rPr>
                <w:sz w:val="19"/>
                <w:szCs w:val="19"/>
              </w:rPr>
              <w:t xml:space="preserve">Rédige la note de couverture : (1) l’enjeu en deux phrases ; (2) trois points clés, chacun avec sa conséquence concrète pour l’organisation ; (3) les options possibles avec leur risque ; (4) la décision demandée et l’échéance.</w:t>
            </w:r>
          </w:p>
          <w:p>
            <w:pPr>
              <w:spacing w:after="70" w:line="252"/>
            </w:pPr>
            <w:r>
              <w:rPr>
                <w:b/>
                <w:bCs/>
                <w:color w:val="1D659C"/>
                <w:sz w:val="19"/>
                <w:szCs w:val="19"/>
              </w:rPr>
              <w:t xml:space="preserve">Format : </w:t>
            </w:r>
            <w:r>
              <w:rPr>
                <w:sz w:val="19"/>
                <w:szCs w:val="19"/>
              </w:rPr>
              <w:t xml:space="preserve">250 mots maximum, pas de jargon, aucune abréviation non définie, ton factuel.</w:t>
            </w:r>
          </w:p>
          <w:p>
            <w:pPr>
              <w:spacing w:after="70" w:line="252"/>
            </w:pPr>
            <w:r>
              <w:rPr>
                <w:b/>
                <w:bCs/>
                <w:color w:val="1D659C"/>
                <w:sz w:val="19"/>
                <w:szCs w:val="19"/>
              </w:rPr>
              <w:t xml:space="preserve">Vérification : </w:t>
            </w:r>
            <w:r>
              <w:rPr>
                <w:sz w:val="19"/>
                <w:szCs w:val="19"/>
              </w:rPr>
              <w:t xml:space="preserve">ne dis rien que ma note ne dise pas ; si tu dois choisir entre deux nuances de ma note, garde la plus prudente.</w:t>
            </w:r>
          </w:p>
          <w:p>
            <w:pPr>
              <w:spacing w:after="70" w:line="252"/>
            </w:pPr>
            <w:r>
              <w:rPr>
                <w:b/>
                <w:bCs/>
                <w:color w:val="1D659C"/>
                <w:sz w:val="19"/>
                <w:szCs w:val="19"/>
              </w:rPr>
              <w:t xml:space="preserve">Note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Vérifier que la recommandation est bien la vôtre et qu’une reformulation ne l’a pas déplacée.</w:t>
      </w:r>
    </w:p>
    <w:p>
      <w:pPr>
        <w:pStyle w:val="ListParagraph"/>
        <w:numPr>
          <w:ilvl w:val="0"/>
          <w:numId w:val="5"/>
        </w:numPr>
        <w:spacing w:after="60" w:line="264"/>
      </w:pPr>
      <w:r>
        <w:t xml:space="preserve">Contrôler chiffres et dates.</w:t>
      </w:r>
    </w:p>
    <w:p>
      <w:pPr>
        <w:pStyle w:val="ListParagraph"/>
        <w:numPr>
          <w:ilvl w:val="0"/>
          <w:numId w:val="5"/>
        </w:numPr>
        <w:spacing w:after="60" w:line="264"/>
      </w:pPr>
      <w:r>
        <w:t xml:space="preserve">Relire la partie « options » : une option manquante est une décision biaisée.</w:t>
      </w:r>
    </w:p>
    <w:p>
      <w:pPr>
        <w:spacing w:after="80" w:before="60"/>
      </w:pPr>
      <w:r>
        <w:rPr>
          <w:b/>
          <w:bCs/>
          <w:color w:val="10213A"/>
        </w:rPr>
        <w:t xml:space="preserve">Variante. </w:t>
      </w:r>
      <w:r>
        <w:t xml:space="preserve">« Prépare les cinq questions que le directeur financier posera, et une réponse en deux lignes pour chacune. »</w:t>
      </w:r>
    </w:p>
    <w:p>
      <w:pPr>
        <w:pStyle w:val="Heading3"/>
        <w:pageBreakBefore/>
      </w:pPr>
      <w:r>
        <w:t xml:space="preserve">Fiche 7  ·  Produire une FAQ interne à partir d’une politique</w:t>
      </w:r>
    </w:p>
    <w:p>
      <w:pPr>
        <w:spacing w:after="80"/>
      </w:pPr>
      <w:r>
        <w:rPr>
          <w:color w:val="5B6B7B"/>
          <w:sz w:val="17"/>
          <w:szCs w:val="17"/>
        </w:rPr>
        <w:t xml:space="preserve">Niveau 1  ·  Risques et conformité  ·  Capacité : Rédiger  ·  Outils : tous  ·  Temps gagné typique : 1 heure par politique</w:t>
      </w:r>
    </w:p>
    <w:p>
      <w:pPr>
        <w:spacing w:after="100" w:line="264"/>
      </w:pPr>
      <w:r>
        <w:rPr>
          <w:b/>
          <w:bCs/>
          <w:color w:val="10213A"/>
        </w:rPr>
        <w:t xml:space="preserve">La situation. </w:t>
      </w:r>
      <w:r>
        <w:t xml:space="preserve">La nouvelle politique cadeaux et invitations, ou la procédure de signature, est publiée. Vous recevez les mêmes dix questions par email.</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Anticipe les questions des lecteurs</w:t>
            </w:r>
          </w:p>
          <w:p>
            <w:pPr>
              <w:pStyle w:val="ListParagraph"/>
              <w:numPr>
                <w:ilvl w:val="0"/>
                <w:numId w:val="2"/>
              </w:numPr>
              <w:spacing w:after="40" w:line="252"/>
            </w:pPr>
            <w:r>
              <w:rPr>
                <w:sz w:val="19"/>
                <w:szCs w:val="19"/>
              </w:rPr>
              <w:t xml:space="preserve">Répond à partir du texte de la politique</w:t>
            </w:r>
          </w:p>
          <w:p>
            <w:pPr>
              <w:pStyle w:val="ListParagraph"/>
              <w:numPr>
                <w:ilvl w:val="0"/>
                <w:numId w:val="2"/>
              </w:numPr>
              <w:spacing w:after="40" w:line="252"/>
            </w:pPr>
            <w:r>
              <w:rPr>
                <w:sz w:val="19"/>
                <w:szCs w:val="19"/>
              </w:rPr>
              <w:t xml:space="preserve">Adapte le ton à l’intranet</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doit pas inventer la position de l’organisation sur un cas non prévu</w:t>
            </w:r>
          </w:p>
          <w:p>
            <w:pPr>
              <w:pStyle w:val="ListParagraph"/>
              <w:numPr>
                <w:ilvl w:val="0"/>
                <w:numId w:val="2"/>
              </w:numPr>
              <w:spacing w:after="40" w:line="252"/>
            </w:pPr>
            <w:r>
              <w:rPr>
                <w:sz w:val="19"/>
                <w:szCs w:val="19"/>
              </w:rPr>
              <w:t xml:space="preserve">Ne connaît pas les cas réels déjà remontés</w:t>
            </w:r>
          </w:p>
          <w:p>
            <w:pPr>
              <w:pStyle w:val="ListParagraph"/>
              <w:numPr>
                <w:ilvl w:val="0"/>
                <w:numId w:val="2"/>
              </w:numPr>
              <w:spacing w:after="40" w:line="252"/>
            </w:pPr>
            <w:r>
              <w:rPr>
                <w:sz w:val="19"/>
                <w:szCs w:val="19"/>
              </w:rPr>
              <w:t xml:space="preserve">Ne remplace pas la validation du propriétaire de la politique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La politique elle-même, document interne généralement non sensible. Pas les cas individuels reçus par email.</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conformité et tu rédiges une FAQ pour l’intranet.</w:t>
            </w:r>
          </w:p>
          <w:p>
            <w:pPr>
              <w:spacing w:after="70" w:line="252"/>
            </w:pPr>
            <w:r>
              <w:rPr>
                <w:b/>
                <w:bCs/>
                <w:color w:val="1D659C"/>
                <w:sz w:val="19"/>
                <w:szCs w:val="19"/>
              </w:rPr>
              <w:t xml:space="preserve">Contexte : </w:t>
            </w:r>
            <w:r>
              <w:rPr>
                <w:sz w:val="19"/>
                <w:szCs w:val="19"/>
              </w:rPr>
              <w:t xml:space="preserve">La politique ci-dessous s’applique à </w:t>
            </w:r>
            <w:r>
              <w:rPr>
                <w:sz w:val="19"/>
                <w:szCs w:val="19"/>
                <w:highlight w:val="yellow"/>
              </w:rPr>
              <w:t xml:space="preserve">[population]</w:t>
            </w:r>
            <w:r>
              <w:rPr>
                <w:sz w:val="19"/>
                <w:szCs w:val="19"/>
              </w:rPr>
              <w:t xml:space="preserve">. Les lecteurs sont </w:t>
            </w:r>
            <w:r>
              <w:rPr>
                <w:sz w:val="19"/>
                <w:szCs w:val="19"/>
                <w:highlight w:val="yellow"/>
              </w:rPr>
              <w:t xml:space="preserve">[profil, par exemple des commerciaux et des acheteurs]</w:t>
            </w:r>
            <w:r>
              <w:rPr>
                <w:sz w:val="19"/>
                <w:szCs w:val="19"/>
              </w:rPr>
              <w:t xml:space="preserve">. Les questions les plus fréquentes que je reçois : </w:t>
            </w:r>
            <w:r>
              <w:rPr>
                <w:sz w:val="19"/>
                <w:szCs w:val="19"/>
                <w:highlight w:val="yellow"/>
              </w:rPr>
              <w:t xml:space="preserve">[trois exemples]</w:t>
            </w:r>
            <w:r>
              <w:rPr>
                <w:sz w:val="19"/>
                <w:szCs w:val="19"/>
              </w:rPr>
              <w:t xml:space="preserve">.</w:t>
            </w:r>
          </w:p>
          <w:p>
            <w:pPr>
              <w:spacing w:after="70" w:line="252"/>
            </w:pPr>
            <w:r>
              <w:rPr>
                <w:b/>
                <w:bCs/>
                <w:color w:val="1D659C"/>
                <w:sz w:val="19"/>
                <w:szCs w:val="19"/>
              </w:rPr>
              <w:t xml:space="preserve">Tâche : </w:t>
            </w:r>
            <w:r>
              <w:rPr>
                <w:sz w:val="19"/>
                <w:szCs w:val="19"/>
              </w:rPr>
              <w:t xml:space="preserve">Rédige douze questions-réponses, dans l’ordre où un collaborateur se les pose (avant, pendant, après). Chaque réponse s’appuie uniquement sur la politique et cite l’article ou le paragraphe concerné. Pour les cas que la politique ne tranche pas, écris « cas non prévu par la politique, contactez </w:t>
            </w:r>
            <w:r>
              <w:rPr>
                <w:sz w:val="19"/>
                <w:szCs w:val="19"/>
                <w:highlight w:val="yellow"/>
              </w:rPr>
              <w:t xml:space="preserve">[adresse]</w:t>
            </w:r>
            <w:r>
              <w:rPr>
                <w:sz w:val="19"/>
                <w:szCs w:val="19"/>
              </w:rPr>
              <w:t xml:space="preserve"> ».</w:t>
            </w:r>
          </w:p>
          <w:p>
            <w:pPr>
              <w:spacing w:after="70" w:line="252"/>
            </w:pPr>
            <w:r>
              <w:rPr>
                <w:b/>
                <w:bCs/>
                <w:color w:val="1D659C"/>
                <w:sz w:val="19"/>
                <w:szCs w:val="19"/>
              </w:rPr>
              <w:t xml:space="preserve">Format : </w:t>
            </w:r>
            <w:r>
              <w:rPr>
                <w:sz w:val="19"/>
                <w:szCs w:val="19"/>
              </w:rPr>
              <w:t xml:space="preserve">question en gras, réponse de 60 mots maximum, référence entre crochets.</w:t>
            </w:r>
          </w:p>
          <w:p>
            <w:pPr>
              <w:spacing w:after="70" w:line="252"/>
            </w:pPr>
            <w:r>
              <w:rPr>
                <w:b/>
                <w:bCs/>
                <w:color w:val="1D659C"/>
                <w:sz w:val="19"/>
                <w:szCs w:val="19"/>
              </w:rPr>
              <w:t xml:space="preserve">Vérification : </w:t>
            </w:r>
            <w:r>
              <w:rPr>
                <w:sz w:val="19"/>
                <w:szCs w:val="19"/>
              </w:rPr>
              <w:t xml:space="preserve">liste à la fin les cas fréquents que la politique devrait préciser.</w:t>
            </w:r>
          </w:p>
          <w:p>
            <w:pPr>
              <w:spacing w:after="70" w:line="252"/>
            </w:pPr>
            <w:r>
              <w:rPr>
                <w:b/>
                <w:bCs/>
                <w:color w:val="1D659C"/>
                <w:sz w:val="19"/>
                <w:szCs w:val="19"/>
              </w:rPr>
              <w:t xml:space="preserve">Politique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Vérifier chaque référence d’article.</w:t>
      </w:r>
    </w:p>
    <w:p>
      <w:pPr>
        <w:pStyle w:val="ListParagraph"/>
        <w:numPr>
          <w:ilvl w:val="0"/>
          <w:numId w:val="5"/>
        </w:numPr>
        <w:spacing w:after="60" w:line="264"/>
      </w:pPr>
      <w:r>
        <w:t xml:space="preserve">Confronter les réponses aux cas réels reçus.</w:t>
      </w:r>
    </w:p>
    <w:p>
      <w:pPr>
        <w:pStyle w:val="ListParagraph"/>
        <w:numPr>
          <w:ilvl w:val="0"/>
          <w:numId w:val="5"/>
        </w:numPr>
        <w:spacing w:after="60" w:line="264"/>
      </w:pPr>
      <w:r>
        <w:t xml:space="preserve">Faire valider la FAQ par le propriétaire de la politique avant publication.</w:t>
      </w:r>
    </w:p>
    <w:p>
      <w:pPr>
        <w:spacing w:after="80" w:before="60"/>
      </w:pPr>
      <w:r>
        <w:rPr>
          <w:b/>
          <w:bCs/>
          <w:color w:val="10213A"/>
        </w:rPr>
        <w:t xml:space="preserve">Variante. </w:t>
      </w:r>
      <w:r>
        <w:t xml:space="preserve">« Transforme cette FAQ en un quiz de huit questions à choix multiple, avec la bonne réponse et son explication, pour la formation d’accueil. »</w:t>
      </w:r>
    </w:p>
    <w:p>
      <w:pPr>
        <w:pStyle w:val="Heading3"/>
        <w:pageBreakBefore/>
      </w:pPr>
      <w:r>
        <w:t xml:space="preserve">Fiche 8  ·  Se faire expliquer un régime ou un concept inconnu</w:t>
      </w:r>
    </w:p>
    <w:p>
      <w:pPr>
        <w:spacing w:after="80"/>
      </w:pPr>
      <w:r>
        <w:rPr>
          <w:color w:val="5B6B7B"/>
          <w:sz w:val="17"/>
          <w:szCs w:val="17"/>
        </w:rPr>
        <w:t xml:space="preserve">Niveau 1  ·  Recherche juridique  ·  Capacité : Coacher  ·  Outils : tous  ·  Temps gagné typique : 20 minutes pour cartographier un sujet</w:t>
      </w:r>
    </w:p>
    <w:p>
      <w:pPr>
        <w:spacing w:after="100" w:line="264"/>
      </w:pPr>
      <w:r>
        <w:rPr>
          <w:b/>
          <w:bCs/>
          <w:color w:val="10213A"/>
        </w:rPr>
        <w:t xml:space="preserve">La situation. </w:t>
      </w:r>
      <w:r>
        <w:t xml:space="preserve">Un dossier vous fait entrer dans une matière que vous pratiquez peu : droit de la concurrence, contrôle des exportations, droit social d’un autre pays. Vous voulez une carte du sujet avant d’ouvrir les sources.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Donne une vue d’ensemble pédagogique</w:t>
            </w:r>
          </w:p>
          <w:p>
            <w:pPr>
              <w:pStyle w:val="ListParagraph"/>
              <w:numPr>
                <w:ilvl w:val="0"/>
                <w:numId w:val="2"/>
              </w:numPr>
              <w:spacing w:after="40" w:line="252"/>
            </w:pPr>
            <w:r>
              <w:rPr>
                <w:sz w:val="19"/>
                <w:szCs w:val="19"/>
              </w:rPr>
              <w:t xml:space="preserve">Pose des questions pour cerner votre besoin</w:t>
            </w:r>
          </w:p>
          <w:p>
            <w:pPr>
              <w:pStyle w:val="ListParagraph"/>
              <w:numPr>
                <w:ilvl w:val="0"/>
                <w:numId w:val="2"/>
              </w:numPr>
              <w:spacing w:after="40" w:line="252"/>
            </w:pPr>
            <w:r>
              <w:rPr>
                <w:sz w:val="19"/>
                <w:szCs w:val="19"/>
              </w:rPr>
              <w:t xml:space="preserve">Propose un plan de lecture des textes officiels</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N’est pas une source : textes, dates et références cités doivent être vérifiés un par un</w:t>
            </w:r>
          </w:p>
          <w:p>
            <w:pPr>
              <w:pStyle w:val="ListParagraph"/>
              <w:numPr>
                <w:ilvl w:val="0"/>
                <w:numId w:val="2"/>
              </w:numPr>
              <w:spacing w:after="40" w:line="252"/>
            </w:pPr>
            <w:r>
              <w:rPr>
                <w:sz w:val="19"/>
                <w:szCs w:val="19"/>
              </w:rPr>
              <w:t xml:space="preserve">Peut mélanger des droits nationaux</w:t>
            </w:r>
          </w:p>
          <w:p>
            <w:pPr>
              <w:pStyle w:val="ListParagraph"/>
              <w:numPr>
                <w:ilvl w:val="0"/>
                <w:numId w:val="2"/>
              </w:numPr>
              <w:spacing w:after="40" w:line="252"/>
            </w:pPr>
            <w:r>
              <w:rPr>
                <w:sz w:val="19"/>
                <w:szCs w:val="19"/>
              </w:rPr>
              <w:t xml:space="preserve">Ignore les évolutions récentes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Rien de confidentiel : la question est générique. Ne décrivez pas le dossier réel, décrivez la matière.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professeur de droit qui forme des juristes d’entreprise confirmés à une matière qu’ils ne pratiquent pas.</w:t>
            </w:r>
          </w:p>
          <w:p>
            <w:pPr>
              <w:spacing w:after="70" w:line="252"/>
            </w:pPr>
            <w:r>
              <w:rPr>
                <w:b/>
                <w:bCs/>
                <w:color w:val="1D659C"/>
                <w:sz w:val="19"/>
                <w:szCs w:val="19"/>
              </w:rPr>
              <w:t xml:space="preserve">Contexte : </w:t>
            </w:r>
            <w:r>
              <w:rPr>
                <w:sz w:val="19"/>
                <w:szCs w:val="19"/>
              </w:rPr>
              <w:t xml:space="preserve">Je suis juriste </w:t>
            </w:r>
            <w:r>
              <w:rPr>
                <w:sz w:val="19"/>
                <w:szCs w:val="19"/>
                <w:highlight w:val="yellow"/>
              </w:rPr>
              <w:t xml:space="preserve">[spécialité]</w:t>
            </w:r>
            <w:r>
              <w:rPr>
                <w:sz w:val="19"/>
                <w:szCs w:val="19"/>
              </w:rPr>
              <w:t xml:space="preserve"> et je dois traiter un dossier de </w:t>
            </w:r>
            <w:r>
              <w:rPr>
                <w:sz w:val="19"/>
                <w:szCs w:val="19"/>
                <w:highlight w:val="yellow"/>
              </w:rPr>
              <w:t xml:space="preserve">[matière nouvelle]</w:t>
            </w:r>
            <w:r>
              <w:rPr>
                <w:sz w:val="19"/>
                <w:szCs w:val="19"/>
              </w:rPr>
              <w:t xml:space="preserve"> en droit </w:t>
            </w:r>
            <w:r>
              <w:rPr>
                <w:sz w:val="19"/>
                <w:szCs w:val="19"/>
                <w:highlight w:val="yellow"/>
              </w:rPr>
              <w:t xml:space="preserve">[pays]</w:t>
            </w:r>
            <w:r>
              <w:rPr>
                <w:sz w:val="19"/>
                <w:szCs w:val="19"/>
              </w:rPr>
              <w:t xml:space="preserve">. Mon objectif : </w:t>
            </w:r>
            <w:r>
              <w:rPr>
                <w:sz w:val="19"/>
                <w:szCs w:val="19"/>
                <w:highlight w:val="yellow"/>
              </w:rPr>
              <w:t xml:space="preserve">[par exemple savoir quelles questions poser au cabinet externe]</w:t>
            </w:r>
            <w:r>
              <w:rPr>
                <w:sz w:val="19"/>
                <w:szCs w:val="19"/>
              </w:rPr>
              <w:t xml:space="preserve">.</w:t>
            </w:r>
          </w:p>
          <w:p>
            <w:pPr>
              <w:spacing w:after="70" w:line="252"/>
            </w:pPr>
            <w:r>
              <w:rPr>
                <w:b/>
                <w:bCs/>
                <w:color w:val="1D659C"/>
                <w:sz w:val="19"/>
                <w:szCs w:val="19"/>
              </w:rPr>
              <w:t xml:space="preserve">Tâche : </w:t>
            </w:r>
            <w:r>
              <w:rPr>
                <w:sz w:val="19"/>
                <w:szCs w:val="19"/>
              </w:rPr>
              <w:t xml:space="preserve">Avant d’expliquer, pose-moi trois questions pour comprendre mon besoin, puis attends mes réponses. Ensuite, présente la matière en cinq notions clés, les trois erreurs classiques des non-spécialistes, et un plan de lecture (quels textes officiels lire en premier, sans en citer le contenu).</w:t>
            </w:r>
          </w:p>
          <w:p>
            <w:pPr>
              <w:spacing w:after="70" w:line="252"/>
            </w:pPr>
            <w:r>
              <w:rPr>
                <w:b/>
                <w:bCs/>
                <w:color w:val="1D659C"/>
                <w:sz w:val="19"/>
                <w:szCs w:val="19"/>
              </w:rPr>
              <w:t xml:space="preserve">Format : </w:t>
            </w:r>
            <w:r>
              <w:rPr>
                <w:sz w:val="19"/>
                <w:szCs w:val="19"/>
              </w:rPr>
              <w:t xml:space="preserve">pédagogique, 500 mots maximum, aucune référence de jurisprudence.</w:t>
            </w:r>
          </w:p>
          <w:p>
            <w:pPr>
              <w:spacing w:after="70" w:line="252"/>
            </w:pPr>
            <w:r>
              <w:rPr>
                <w:b/>
                <w:bCs/>
                <w:color w:val="1D659C"/>
                <w:sz w:val="19"/>
                <w:szCs w:val="19"/>
              </w:rPr>
              <w:t xml:space="preserve">Vérification : </w:t>
            </w:r>
            <w:r>
              <w:rPr>
                <w:sz w:val="19"/>
                <w:szCs w:val="19"/>
              </w:rPr>
              <w:t xml:space="preserve">distingue clairement ce qui relève du principe général et ce qui dépend de faits que je ne t’ai pas donnés.</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Ouvrir les textes officiels indiqués (Légifrance, EUR-Lex, sites des autorités) et vérifier chaque notion.</w:t>
      </w:r>
    </w:p>
    <w:p>
      <w:pPr>
        <w:pStyle w:val="ListParagraph"/>
        <w:numPr>
          <w:ilvl w:val="0"/>
          <w:numId w:val="5"/>
        </w:numPr>
        <w:spacing w:after="60" w:line="264"/>
      </w:pPr>
      <w:r>
        <w:t xml:space="preserve">Ne jamais reprendre une référence citée par l’IA sans l’avoir ouverte.</w:t>
      </w:r>
    </w:p>
    <w:p>
      <w:pPr>
        <w:pStyle w:val="ListParagraph"/>
        <w:numPr>
          <w:ilvl w:val="0"/>
          <w:numId w:val="5"/>
        </w:numPr>
        <w:spacing w:after="60" w:line="264"/>
      </w:pPr>
      <w:r>
        <w:t xml:space="preserve">Noter les points où l’IA a hésité : ce sont vos questions pour l’expert.</w:t>
      </w:r>
    </w:p>
    <w:p>
      <w:pPr>
        <w:spacing w:after="80" w:before="60"/>
      </w:pPr>
      <w:r>
        <w:rPr>
          <w:b/>
          <w:bCs/>
          <w:color w:val="10213A"/>
        </w:rPr>
        <w:t xml:space="preserve">Variante. </w:t>
      </w:r>
      <w:r>
        <w:t xml:space="preserve">« Fais-moi passer un test de cinq questions pour vérifier que j’ai compris, puis corrige mes réponses. »</w:t>
      </w:r>
    </w:p>
    <w:p>
      <w:pPr>
        <w:pStyle w:val="Heading3"/>
        <w:pageBreakBefore/>
      </w:pPr>
      <w:r>
        <w:t xml:space="preserve">Fiche 9  ·  Relire et corriger un projet de courrier ou de contrat</w:t>
      </w:r>
    </w:p>
    <w:p>
      <w:pPr>
        <w:spacing w:after="80"/>
      </w:pPr>
      <w:r>
        <w:rPr>
          <w:color w:val="5B6B7B"/>
          <w:sz w:val="17"/>
          <w:szCs w:val="17"/>
        </w:rPr>
        <w:t xml:space="preserve">Niveau 1  ·  Rédaction  ·  Capacité : Rédiger  ·  Outils : tous  ·  Temps gagné typique : 20 à 40 minutes par document</w:t>
      </w:r>
    </w:p>
    <w:p>
      <w:pPr>
        <w:spacing w:after="100" w:line="264"/>
      </w:pPr>
      <w:r>
        <w:rPr>
          <w:b/>
          <w:bCs/>
          <w:color w:val="10213A"/>
        </w:rPr>
        <w:t xml:space="preserve">La situation. </w:t>
      </w:r>
      <w:r>
        <w:t xml:space="preserve">Votre projet d’avenant ou de mise en demeure est écrit. Avant envoi, vous voulez un second regard sur la cohérence, les renvois, les définitions et les coquilles.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Repère termes définis incohérents, renvois cassés, doublons, dates impossibles, coquilles</w:t>
            </w:r>
          </w:p>
          <w:p>
            <w:pPr>
              <w:pStyle w:val="ListParagraph"/>
              <w:numPr>
                <w:ilvl w:val="0"/>
                <w:numId w:val="2"/>
              </w:numPr>
              <w:spacing w:after="40" w:line="252"/>
            </w:pPr>
            <w:r>
              <w:rPr>
                <w:sz w:val="19"/>
                <w:szCs w:val="19"/>
              </w:rPr>
              <w:t xml:space="preserve">Signale les phrases à double lecture</w:t>
            </w:r>
          </w:p>
          <w:p>
            <w:pPr>
              <w:pStyle w:val="ListParagraph"/>
              <w:numPr>
                <w:ilvl w:val="0"/>
                <w:numId w:val="2"/>
              </w:numPr>
              <w:spacing w:after="40" w:line="252"/>
            </w:pPr>
            <w:r>
              <w:rPr>
                <w:sz w:val="19"/>
                <w:szCs w:val="19"/>
              </w:rPr>
              <w:t xml:space="preserve">Classe les problèmes par gravité</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juge pas l’opportunité de vos positions</w:t>
            </w:r>
          </w:p>
          <w:p>
            <w:pPr>
              <w:pStyle w:val="ListParagraph"/>
              <w:numPr>
                <w:ilvl w:val="0"/>
                <w:numId w:val="2"/>
              </w:numPr>
              <w:spacing w:after="40" w:line="252"/>
            </w:pPr>
            <w:r>
              <w:rPr>
                <w:sz w:val="19"/>
                <w:szCs w:val="19"/>
              </w:rPr>
              <w:t xml:space="preserve">Peut glisser des changements de fond sous couvert de style</w:t>
            </w:r>
          </w:p>
          <w:p>
            <w:pPr>
              <w:pStyle w:val="ListParagraph"/>
              <w:numPr>
                <w:ilvl w:val="0"/>
                <w:numId w:val="2"/>
              </w:numPr>
              <w:spacing w:after="40" w:line="252"/>
            </w:pPr>
            <w:r>
              <w:rPr>
                <w:sz w:val="19"/>
                <w:szCs w:val="19"/>
              </w:rPr>
              <w:t xml:space="preserve">Ne voit pas les annexes que vous n’avez pas collées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Votre projet pseudonymisé, dans un outil validé s’il s’agit d’un contrat confidentiel.</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relecteur juridique méticuleux. Tu ne modifies jamais le fond, tu signales.</w:t>
            </w:r>
          </w:p>
          <w:p>
            <w:pPr>
              <w:spacing w:after="70" w:line="252"/>
            </w:pPr>
            <w:r>
              <w:rPr>
                <w:b/>
                <w:bCs/>
                <w:color w:val="1D659C"/>
                <w:sz w:val="19"/>
                <w:szCs w:val="19"/>
              </w:rPr>
              <w:t xml:space="preserve">Contexte : </w:t>
            </w:r>
            <w:r>
              <w:rPr>
                <w:sz w:val="19"/>
                <w:szCs w:val="19"/>
              </w:rPr>
              <w:t xml:space="preserve">Le document ci-dessous est </w:t>
            </w:r>
            <w:r>
              <w:rPr>
                <w:sz w:val="19"/>
                <w:szCs w:val="19"/>
                <w:highlight w:val="yellow"/>
              </w:rPr>
              <w:t xml:space="preserve">[type]</w:t>
            </w:r>
            <w:r>
              <w:rPr>
                <w:sz w:val="19"/>
                <w:szCs w:val="19"/>
              </w:rPr>
              <w:t xml:space="preserve"> que je vais envoyer à </w:t>
            </w:r>
            <w:r>
              <w:rPr>
                <w:sz w:val="19"/>
                <w:szCs w:val="19"/>
                <w:highlight w:val="yellow"/>
              </w:rPr>
              <w:t xml:space="preserve">[destinataire]</w:t>
            </w:r>
            <w:r>
              <w:rPr>
                <w:sz w:val="19"/>
                <w:szCs w:val="19"/>
              </w:rPr>
              <w:t xml:space="preserve"> le </w:t>
            </w:r>
            <w:r>
              <w:rPr>
                <w:sz w:val="19"/>
                <w:szCs w:val="19"/>
                <w:highlight w:val="yellow"/>
              </w:rPr>
              <w:t xml:space="preserve">[date]</w:t>
            </w:r>
            <w:r>
              <w:rPr>
                <w:sz w:val="19"/>
                <w:szCs w:val="19"/>
              </w:rPr>
              <w:t xml:space="preserve">.</w:t>
            </w:r>
          </w:p>
          <w:p>
            <w:pPr>
              <w:spacing w:after="70" w:line="252"/>
            </w:pPr>
            <w:r>
              <w:rPr>
                <w:b/>
                <w:bCs/>
                <w:color w:val="1D659C"/>
                <w:sz w:val="19"/>
                <w:szCs w:val="19"/>
              </w:rPr>
              <w:t xml:space="preserve">Tâche : </w:t>
            </w:r>
            <w:r>
              <w:rPr>
                <w:sz w:val="19"/>
                <w:szCs w:val="19"/>
              </w:rPr>
              <w:t xml:space="preserve">Relis et signale, sans réécrire le document : (1) les termes définis employés sans définition ou définis sans être employés ; (2) les renvois d’articles erronés ; (3) les incohérences de dates, délais, montants, parties ; (4) les phrases ambiguës, avec la double lecture possible ; (5) les coquilles.</w:t>
            </w:r>
          </w:p>
          <w:p>
            <w:pPr>
              <w:spacing w:after="70" w:line="252"/>
            </w:pPr>
            <w:r>
              <w:rPr>
                <w:b/>
                <w:bCs/>
                <w:color w:val="1D659C"/>
                <w:sz w:val="19"/>
                <w:szCs w:val="19"/>
              </w:rPr>
              <w:t xml:space="preserve">Format : </w:t>
            </w:r>
            <w:r>
              <w:rPr>
                <w:sz w:val="19"/>
                <w:szCs w:val="19"/>
              </w:rPr>
              <w:t xml:space="preserve">tableau « localisation | problème | proposition », classé par gravité décroissante.</w:t>
            </w:r>
          </w:p>
          <w:p>
            <w:pPr>
              <w:spacing w:after="70" w:line="252"/>
            </w:pPr>
            <w:r>
              <w:rPr>
                <w:b/>
                <w:bCs/>
                <w:color w:val="1D659C"/>
                <w:sz w:val="19"/>
                <w:szCs w:val="19"/>
              </w:rPr>
              <w:t xml:space="preserve">Vérification : </w:t>
            </w:r>
            <w:r>
              <w:rPr>
                <w:sz w:val="19"/>
                <w:szCs w:val="19"/>
              </w:rPr>
              <w:t xml:space="preserve">n’ajoute aucune clause, aucun principe juridique, aucune suggestion de fond.</w:t>
            </w:r>
          </w:p>
          <w:p>
            <w:pPr>
              <w:spacing w:after="70" w:line="252"/>
            </w:pPr>
            <w:r>
              <w:rPr>
                <w:b/>
                <w:bCs/>
                <w:color w:val="1D659C"/>
                <w:sz w:val="19"/>
                <w:szCs w:val="19"/>
              </w:rPr>
              <w:t xml:space="preserve">Document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Traiter le tableau ligne par ligne : vous décidez.</w:t>
      </w:r>
    </w:p>
    <w:p>
      <w:pPr>
        <w:pStyle w:val="ListParagraph"/>
        <w:numPr>
          <w:ilvl w:val="0"/>
          <w:numId w:val="5"/>
        </w:numPr>
        <w:spacing w:after="60" w:line="264"/>
      </w:pPr>
      <w:r>
        <w:t xml:space="preserve">Vérifier vous-même les renvois signalés, l’IA se trompe aussi de numéro.</w:t>
      </w:r>
    </w:p>
    <w:p>
      <w:pPr>
        <w:pStyle w:val="ListParagraph"/>
        <w:numPr>
          <w:ilvl w:val="0"/>
          <w:numId w:val="5"/>
        </w:numPr>
        <w:spacing w:after="60" w:line="264"/>
      </w:pPr>
      <w:r>
        <w:t xml:space="preserve">Faire la dernière relecture humaine sur le document final, pas sur la version commentée.</w:t>
      </w:r>
    </w:p>
    <w:p>
      <w:pPr>
        <w:spacing w:after="80" w:before="60"/>
      </w:pPr>
      <w:r>
        <w:rPr>
          <w:b/>
          <w:bCs/>
          <w:color w:val="10213A"/>
        </w:rPr>
        <w:t xml:space="preserve">Variante. </w:t>
      </w:r>
      <w:r>
        <w:t xml:space="preserve">« Vérifie uniquement la cohérence des délais : liste chaque délai, son point de départ, son terme et l’article qui le fixe. »</w:t>
      </w:r>
    </w:p>
    <w:p>
      <w:pPr>
        <w:pStyle w:val="Heading3"/>
        <w:pageBreakBefore/>
      </w:pPr>
      <w:r>
        <w:t xml:space="preserve">Fiche 10  ·  Extraire actions et délais d’un fil d’emails</w:t>
      </w:r>
    </w:p>
    <w:p>
      <w:pPr>
        <w:spacing w:after="80"/>
      </w:pPr>
      <w:r>
        <w:rPr>
          <w:color w:val="5B6B7B"/>
          <w:sz w:val="17"/>
          <w:szCs w:val="17"/>
        </w:rPr>
        <w:t xml:space="preserve">Niveau 1  ·  Analyse contractuelle  ·  Capacité : Analyser  ·  Outils : tous  ·  Temps gagné typique : 20 minutes par fil</w:t>
      </w:r>
    </w:p>
    <w:p>
      <w:pPr>
        <w:spacing w:after="100" w:line="264"/>
      </w:pPr>
      <w:r>
        <w:rPr>
          <w:b/>
          <w:bCs/>
          <w:color w:val="10213A"/>
        </w:rPr>
        <w:t xml:space="preserve">La situation. </w:t>
      </w:r>
      <w:r>
        <w:t xml:space="preserve">Un fil de quarante emails sur un litige fournisseur ou une négociation. Vous devez savoir qui a promis quoi, pour quand, et ce qui reste dû.</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Reconstitue la chronologie</w:t>
            </w:r>
          </w:p>
          <w:p>
            <w:pPr>
              <w:pStyle w:val="ListParagraph"/>
              <w:numPr>
                <w:ilvl w:val="0"/>
                <w:numId w:val="2"/>
              </w:numPr>
              <w:spacing w:after="40" w:line="252"/>
            </w:pPr>
            <w:r>
              <w:rPr>
                <w:sz w:val="19"/>
                <w:szCs w:val="19"/>
              </w:rPr>
              <w:t xml:space="preserve">Extrait engagements, échéances et responsables</w:t>
            </w:r>
          </w:p>
          <w:p>
            <w:pPr>
              <w:pStyle w:val="ListParagraph"/>
              <w:numPr>
                <w:ilvl w:val="0"/>
                <w:numId w:val="2"/>
              </w:numPr>
              <w:spacing w:after="40" w:line="252"/>
            </w:pPr>
            <w:r>
              <w:rPr>
                <w:sz w:val="19"/>
                <w:szCs w:val="19"/>
              </w:rPr>
              <w:t xml:space="preserve">Repère les contradictions entre messages</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sait pas ce qui a été dit oralement</w:t>
            </w:r>
          </w:p>
          <w:p>
            <w:pPr>
              <w:pStyle w:val="ListParagraph"/>
              <w:numPr>
                <w:ilvl w:val="0"/>
                <w:numId w:val="2"/>
              </w:numPr>
              <w:spacing w:after="40" w:line="252"/>
            </w:pPr>
            <w:r>
              <w:rPr>
                <w:sz w:val="19"/>
                <w:szCs w:val="19"/>
              </w:rPr>
              <w:t xml:space="preserve">Peut attribuer un engagement à la mauvaise personne si le fil cite mal</w:t>
            </w:r>
          </w:p>
          <w:p>
            <w:pPr>
              <w:pStyle w:val="ListParagraph"/>
              <w:numPr>
                <w:ilvl w:val="0"/>
                <w:numId w:val="2"/>
              </w:numPr>
              <w:spacing w:after="40" w:line="252"/>
            </w:pPr>
            <w:r>
              <w:rPr>
                <w:sz w:val="19"/>
                <w:szCs w:val="19"/>
              </w:rPr>
              <w:t xml:space="preserve">Ne qualifie pas juridiquement l’engagement</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 fil exporté avec les noms remplacés par des rôles (Fournisseur, Acheteur, Juriste), sans signatures, numéros de téléphone ni pièces jointes.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juriste qui reconstitue l’historique d’un dossier.</w:t>
            </w:r>
          </w:p>
          <w:p>
            <w:pPr>
              <w:spacing w:after="70" w:line="252"/>
            </w:pPr>
            <w:r>
              <w:rPr>
                <w:b/>
                <w:bCs/>
                <w:color w:val="1D659C"/>
                <w:sz w:val="19"/>
                <w:szCs w:val="19"/>
              </w:rPr>
              <w:t xml:space="preserve">Contexte : </w:t>
            </w:r>
            <w:r>
              <w:rPr>
                <w:sz w:val="19"/>
                <w:szCs w:val="19"/>
              </w:rPr>
              <w:t xml:space="preserve">Fil d’emails ci-dessous entre </w:t>
            </w:r>
            <w:r>
              <w:rPr>
                <w:sz w:val="19"/>
                <w:szCs w:val="19"/>
                <w:highlight w:val="yellow"/>
              </w:rPr>
              <w:t xml:space="preserve">[rôles]</w:t>
            </w:r>
            <w:r>
              <w:rPr>
                <w:sz w:val="19"/>
                <w:szCs w:val="19"/>
              </w:rPr>
              <w:t xml:space="preserve"> au sujet de </w:t>
            </w:r>
            <w:r>
              <w:rPr>
                <w:sz w:val="19"/>
                <w:szCs w:val="19"/>
                <w:highlight w:val="yellow"/>
              </w:rPr>
              <w:t xml:space="preserve">[objet]</w:t>
            </w:r>
            <w:r>
              <w:rPr>
                <w:sz w:val="19"/>
                <w:szCs w:val="19"/>
              </w:rPr>
              <w:t xml:space="preserve">, du </w:t>
            </w:r>
            <w:r>
              <w:rPr>
                <w:sz w:val="19"/>
                <w:szCs w:val="19"/>
                <w:highlight w:val="yellow"/>
              </w:rPr>
              <w:t xml:space="preserve">[date de début]</w:t>
            </w:r>
            <w:r>
              <w:rPr>
                <w:sz w:val="19"/>
                <w:szCs w:val="19"/>
              </w:rPr>
              <w:t xml:space="preserve"> au </w:t>
            </w:r>
            <w:r>
              <w:rPr>
                <w:sz w:val="19"/>
                <w:szCs w:val="19"/>
                <w:highlight w:val="yellow"/>
              </w:rPr>
              <w:t xml:space="preserve">[date de fin]</w:t>
            </w:r>
            <w:r>
              <w:rPr>
                <w:sz w:val="19"/>
                <w:szCs w:val="19"/>
              </w:rPr>
              <w:t xml:space="preserve">.</w:t>
            </w:r>
          </w:p>
          <w:p>
            <w:pPr>
              <w:spacing w:after="70" w:line="252"/>
            </w:pPr>
            <w:r>
              <w:rPr>
                <w:b/>
                <w:bCs/>
                <w:color w:val="1D659C"/>
                <w:sz w:val="19"/>
                <w:szCs w:val="19"/>
              </w:rPr>
              <w:t xml:space="preserve">Tâche : </w:t>
            </w:r>
            <w:r>
              <w:rPr>
                <w:sz w:val="19"/>
                <w:szCs w:val="19"/>
              </w:rPr>
              <w:t xml:space="preserve">(1) Chronologie datée des échanges, une ligne chacun. (2) Tableau des engagements pris : qui, quoi, échéance, email source (date et expéditeur), statut (tenu, non tenu, inconnu). (3) Liste des points contradictoires entre emails. (4) Ce qui reste à faire, par partie.</w:t>
            </w:r>
          </w:p>
          <w:p>
            <w:pPr>
              <w:spacing w:after="70" w:line="252"/>
            </w:pPr>
            <w:r>
              <w:rPr>
                <w:b/>
                <w:bCs/>
                <w:color w:val="1D659C"/>
                <w:sz w:val="19"/>
                <w:szCs w:val="19"/>
              </w:rPr>
              <w:t xml:space="preserve">Format : </w:t>
            </w:r>
            <w:r>
              <w:rPr>
                <w:sz w:val="19"/>
                <w:szCs w:val="19"/>
              </w:rPr>
              <w:t xml:space="preserve">tableaux, dates au format jour/mois/année, aucune interprétation juridique.</w:t>
            </w:r>
          </w:p>
          <w:p>
            <w:pPr>
              <w:spacing w:after="70" w:line="252"/>
            </w:pPr>
            <w:r>
              <w:rPr>
                <w:b/>
                <w:bCs/>
                <w:color w:val="1D659C"/>
                <w:sz w:val="19"/>
                <w:szCs w:val="19"/>
              </w:rPr>
              <w:t xml:space="preserve">Vérification : </w:t>
            </w:r>
            <w:r>
              <w:rPr>
                <w:sz w:val="19"/>
                <w:szCs w:val="19"/>
              </w:rPr>
              <w:t xml:space="preserve">pour chaque engagement, cite la phrase exacte de l’email.</w:t>
            </w:r>
          </w:p>
          <w:p>
            <w:pPr>
              <w:spacing w:after="70" w:line="252"/>
            </w:pPr>
            <w:r>
              <w:rPr>
                <w:b/>
                <w:bCs/>
                <w:color w:val="1D659C"/>
                <w:sz w:val="19"/>
                <w:szCs w:val="19"/>
              </w:rPr>
              <w:t xml:space="preserve">Fil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Vérifier chaque engagement dans l’email source.</w:t>
      </w:r>
    </w:p>
    <w:p>
      <w:pPr>
        <w:pStyle w:val="ListParagraph"/>
        <w:numPr>
          <w:ilvl w:val="0"/>
          <w:numId w:val="5"/>
        </w:numPr>
        <w:spacing w:after="60" w:line="264"/>
      </w:pPr>
      <w:r>
        <w:t xml:space="preserve">Compléter avec ce que vous savez par oral.</w:t>
      </w:r>
    </w:p>
    <w:p>
      <w:pPr>
        <w:pStyle w:val="ListParagraph"/>
        <w:numPr>
          <w:ilvl w:val="0"/>
          <w:numId w:val="5"/>
        </w:numPr>
        <w:spacing w:after="60" w:line="264"/>
      </w:pPr>
      <w:r>
        <w:t xml:space="preserve">Qualifier vous-même (engagement contractuel, simple intention) : ce n’est pas le rôle de l’IA.</w:t>
      </w:r>
    </w:p>
    <w:p>
      <w:pPr>
        <w:spacing w:after="80" w:before="60"/>
      </w:pPr>
      <w:r>
        <w:rPr>
          <w:b/>
          <w:bCs/>
          <w:color w:val="10213A"/>
        </w:rPr>
        <w:t xml:space="preserve">Variante. </w:t>
      </w:r>
      <w:r>
        <w:t xml:space="preserve">« À partir de ce tableau, rédige un email récapitulatif au fournisseur, factuel, sans qualification juridique, qui demande confirmation des échéances. »</w:t>
      </w:r>
    </w:p>
    <w:p>
      <w:pPr>
        <w:pStyle w:val="Heading1"/>
        <w:pageBreakBefore/>
      </w:pPr>
      <w:r>
        <w:t xml:space="preserve">Niveau 2. Analyser et rédiger avec méthode</w:t>
      </w:r>
    </w:p>
    <w:p>
      <w:pPr>
        <w:spacing w:after="100" w:line="264"/>
      </w:pPr>
      <w:r>
        <w:t xml:space="preserve">Douze usages où vous apportez vos documents et vos positions, et où l’IA rend des tableaux, des grilles et des comparaisons. C’est le cœur de la valeur pour une direction juridique : la revue contractuelle, la conformité d’un projet, la préparation d’une négociation, le mémo. C’est aussi le niveau où la vérification devient un geste systématique, parce que les sorties commencent à ressembler à du travail fini.</w:t>
      </w:r>
    </w:p>
    <w:p>
      <w:pPr>
        <w:spacing w:after="100" w:line="264"/>
      </w:pPr>
      <w:r>
        <w:rPr>
          <w:b/>
          <w:bCs/>
        </w:rPr>
        <w:t xml:space="preserve">Deux règles changent par rapport au niveau 1.</w:t>
      </w:r>
      <w:r>
        <w:t xml:space="preserve"> D’abord, l’outil validé par la DSI devient indispensable : vos playbooks, vos contrats et vos positions de négociation sont des informations sensibles. Ensuite, dès que la tâche touche au droit positif (fiches 14, 17, 18, 20), c’est vous qui fournissez les textes : l’IA structure et compare, elle ne sert jamais de source.</w:t>
      </w:r>
    </w:p>
    <w:p>
      <w:pPr>
        <w:spacing w:after="100" w:line="264"/>
      </w:pPr>
      <w:r>
        <w:rPr>
          <w:b/>
          <w:bCs/>
        </w:rPr>
        <w:t xml:space="preserve">Ce que vous saurez faire à la fin du niveau 2</w:t>
      </w:r>
      <w:r>
        <w:t xml:space="preserve"> : instruire un contrat de soixante pages en une heure avec une fiche d’identité fiable ; comparer une version reçue à la vôtre et expliquer chaque écart ; produire une checklist de conformité qui pose les bonnes questions au métier ; écrire un mémo dont chaque référence a été ouverte.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400"/>
        <w:gridCol w:w="7200"/>
      </w:tblGrid>
      <w:tr>
        <w:trPr>
          <w:cantSplit/>
          <w:tblHeader/>
        </w:trPr>
        <w:tc>
          <w:tcPr>
            <w:tcW w:type="dxa" w:w="2400"/>
            <w:shd w:fill="10213A" w:color="auto" w:val="clear"/>
            <w:tcMar>
              <w:top w:type="dxa" w:w="70"/>
              <w:left w:type="dxa" w:w="110"/>
              <w:bottom w:type="dxa" w:w="70"/>
              <w:right w:type="dxa" w:w="110"/>
            </w:tcMar>
          </w:tcPr>
          <w:p>
            <w:pPr>
              <w:spacing w:after="40" w:line="252"/>
            </w:pPr>
            <w:r>
              <w:rPr>
                <w:b/>
                <w:bCs/>
                <w:color w:val="FFFFFF"/>
                <w:sz w:val="19"/>
                <w:szCs w:val="19"/>
              </w:rPr>
              <w:t xml:space="preserve">Famille</w:t>
            </w:r>
          </w:p>
        </w:tc>
        <w:tc>
          <w:tcPr>
            <w:tcW w:type="dxa" w:w="7200"/>
            <w:shd w:fill="10213A" w:color="auto" w:val="clear"/>
            <w:tcMar>
              <w:top w:type="dxa" w:w="70"/>
              <w:left w:type="dxa" w:w="110"/>
              <w:bottom w:type="dxa" w:w="70"/>
              <w:right w:type="dxa" w:w="110"/>
            </w:tcMar>
          </w:tcPr>
          <w:p>
            <w:pPr>
              <w:spacing w:after="40" w:line="252"/>
            </w:pPr>
            <w:r>
              <w:rPr>
                <w:b/>
                <w:bCs/>
                <w:color w:val="FFFFFF"/>
                <w:sz w:val="19"/>
                <w:szCs w:val="19"/>
              </w:rPr>
              <w:t xml:space="preserve">Fiches du niveau 2</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Analyse contractuelle</w:t>
            </w:r>
          </w:p>
        </w:tc>
        <w:tc>
          <w:tcPr>
            <w:tcW w:type="dxa" w:w="7200"/>
            <w:tcMar>
              <w:top w:type="dxa" w:w="70"/>
              <w:left w:type="dxa" w:w="110"/>
              <w:bottom w:type="dxa" w:w="70"/>
              <w:right w:type="dxa" w:w="110"/>
            </w:tcMar>
          </w:tcPr>
          <w:p>
            <w:pPr>
              <w:spacing w:after="40" w:line="252"/>
            </w:pPr>
            <w:r>
              <w:rPr>
                <w:sz w:val="19"/>
                <w:szCs w:val="19"/>
              </w:rPr>
              <w:t xml:space="preserve">11 Clauses clés en tableau · 12 Contrat contre playbook · 19 CGU d’un fournisseur</w:t>
            </w:r>
          </w:p>
        </w:tc>
      </w:tr>
      <w:tr>
        <w:trPr>
          <w:cantSplit/>
          <w:tblHeader w:val="false"/>
        </w:trPr>
        <w:tc>
          <w:tcPr>
            <w:tcW w:type="dxa" w:w="2400"/>
            <w:shd w:fill="F2F6FA" w:color="auto" w:val="clear"/>
            <w:tcMar>
              <w:top w:type="dxa" w:w="70"/>
              <w:left w:type="dxa" w:w="110"/>
              <w:bottom w:type="dxa" w:w="70"/>
              <w:right w:type="dxa" w:w="110"/>
            </w:tcMar>
          </w:tcPr>
          <w:p>
            <w:pPr>
              <w:spacing w:after="40" w:line="252"/>
            </w:pPr>
            <w:r>
              <w:rPr>
                <w:sz w:val="19"/>
                <w:szCs w:val="19"/>
              </w:rPr>
              <w:t xml:space="preserve">Comparaison</w:t>
            </w:r>
          </w:p>
        </w:tc>
        <w:tc>
          <w:tcPr>
            <w:tcW w:type="dxa" w:w="7200"/>
            <w:shd w:fill="F2F6FA" w:color="auto" w:val="clear"/>
            <w:tcMar>
              <w:top w:type="dxa" w:w="70"/>
              <w:left w:type="dxa" w:w="110"/>
              <w:bottom w:type="dxa" w:w="70"/>
              <w:right w:type="dxa" w:w="110"/>
            </w:tcMar>
          </w:tcPr>
          <w:p>
            <w:pPr>
              <w:spacing w:after="40" w:line="252"/>
            </w:pPr>
            <w:r>
              <w:rPr>
                <w:sz w:val="19"/>
                <w:szCs w:val="19"/>
              </w:rPr>
              <w:t xml:space="preserve">13 Deux versions d’un contrat · 14 Plusieurs textes ou juridictions</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Rédaction</w:t>
            </w:r>
          </w:p>
        </w:tc>
        <w:tc>
          <w:tcPr>
            <w:tcW w:type="dxa" w:w="7200"/>
            <w:tcMar>
              <w:top w:type="dxa" w:w="70"/>
              <w:left w:type="dxa" w:w="110"/>
              <w:bottom w:type="dxa" w:w="70"/>
              <w:right w:type="dxa" w:w="110"/>
            </w:tcMar>
          </w:tcPr>
          <w:p>
            <w:pPr>
              <w:spacing w:after="40" w:line="252"/>
            </w:pPr>
            <w:r>
              <w:rPr>
                <w:sz w:val="19"/>
                <w:szCs w:val="19"/>
              </w:rPr>
              <w:t xml:space="preserve">15 Clause en deux variantes · 16 Préparer une négociation · 20 Mémo structuré</w:t>
            </w:r>
          </w:p>
        </w:tc>
      </w:tr>
      <w:tr>
        <w:trPr>
          <w:cantSplit/>
          <w:tblHeader w:val="false"/>
        </w:trPr>
        <w:tc>
          <w:tcPr>
            <w:tcW w:type="dxa" w:w="2400"/>
            <w:shd w:fill="F2F6FA" w:color="auto" w:val="clear"/>
            <w:tcMar>
              <w:top w:type="dxa" w:w="70"/>
              <w:left w:type="dxa" w:w="110"/>
              <w:bottom w:type="dxa" w:w="70"/>
              <w:right w:type="dxa" w:w="110"/>
            </w:tcMar>
          </w:tcPr>
          <w:p>
            <w:pPr>
              <w:spacing w:after="40" w:line="252"/>
            </w:pPr>
            <w:r>
              <w:rPr>
                <w:sz w:val="19"/>
                <w:szCs w:val="19"/>
              </w:rPr>
              <w:t xml:space="preserve">Risques et conformité</w:t>
            </w:r>
          </w:p>
        </w:tc>
        <w:tc>
          <w:tcPr>
            <w:tcW w:type="dxa" w:w="7200"/>
            <w:shd w:fill="F2F6FA" w:color="auto" w:val="clear"/>
            <w:tcMar>
              <w:top w:type="dxa" w:w="70"/>
              <w:left w:type="dxa" w:w="110"/>
              <w:bottom w:type="dxa" w:w="70"/>
              <w:right w:type="dxa" w:w="110"/>
            </w:tcMar>
          </w:tcPr>
          <w:p>
            <w:pPr>
              <w:spacing w:after="40" w:line="252"/>
            </w:pPr>
            <w:r>
              <w:rPr>
                <w:sz w:val="19"/>
                <w:szCs w:val="19"/>
              </w:rPr>
              <w:t xml:space="preserve">17 Checklist de conformité d’un projet · 18 Communication marketing · 22 Cartographie des risques</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Recherche juridique</w:t>
            </w:r>
          </w:p>
        </w:tc>
        <w:tc>
          <w:tcPr>
            <w:tcW w:type="dxa" w:w="7200"/>
            <w:tcMar>
              <w:top w:type="dxa" w:w="70"/>
              <w:left w:type="dxa" w:w="110"/>
              <w:bottom w:type="dxa" w:w="70"/>
              <w:right w:type="dxa" w:w="110"/>
            </w:tcMar>
          </w:tcPr>
          <w:p>
            <w:pPr>
              <w:spacing w:after="40" w:line="252"/>
            </w:pPr>
            <w:r>
              <w:rPr>
                <w:sz w:val="19"/>
                <w:szCs w:val="19"/>
              </w:rPr>
              <w:t xml:space="preserve">21 Structurer une veille</w:t>
            </w:r>
          </w:p>
        </w:tc>
      </w:tr>
    </w:tbl>
    <w:p>
      <w:pPr>
        <w:pStyle w:val="Heading3"/>
        <w:pageBreakBefore/>
      </w:pPr>
      <w:r>
        <w:t xml:space="preserve">Fiche 11  ·  Extraire les clauses clés d’un contrat en tableau</w:t>
      </w:r>
    </w:p>
    <w:p>
      <w:pPr>
        <w:spacing w:after="80"/>
      </w:pPr>
      <w:r>
        <w:rPr>
          <w:color w:val="5B6B7B"/>
          <w:sz w:val="17"/>
          <w:szCs w:val="17"/>
        </w:rPr>
        <w:t xml:space="preserve">Niveau 2  ·  Analyse contractuelle  ·  Capacité : Analyser  ·  Outils : tous, outil validé  ·  Temps gagné typique : 1 heure par contrat</w:t>
      </w:r>
    </w:p>
    <w:p>
      <w:pPr>
        <w:spacing w:after="100" w:line="264"/>
      </w:pPr>
      <w:r>
        <w:rPr>
          <w:b/>
          <w:bCs/>
          <w:color w:val="10213A"/>
        </w:rPr>
        <w:t xml:space="preserve">La situation. </w:t>
      </w:r>
      <w:r>
        <w:t xml:space="preserve">Un contrat fournisseur de soixante pages à instruire pour demain. Vous voulez une fiche d’identité fiable avant de lire en détail.</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Localise et cite les clauses demandées</w:t>
            </w:r>
          </w:p>
          <w:p>
            <w:pPr>
              <w:pStyle w:val="ListParagraph"/>
              <w:numPr>
                <w:ilvl w:val="0"/>
                <w:numId w:val="2"/>
              </w:numPr>
              <w:spacing w:after="40" w:line="252"/>
            </w:pPr>
            <w:r>
              <w:rPr>
                <w:sz w:val="19"/>
                <w:szCs w:val="19"/>
              </w:rPr>
              <w:t xml:space="preserve">Les restitue dans un tableau à colonnes fixes</w:t>
            </w:r>
          </w:p>
          <w:p>
            <w:pPr>
              <w:pStyle w:val="ListParagraph"/>
              <w:numPr>
                <w:ilvl w:val="0"/>
                <w:numId w:val="2"/>
              </w:numPr>
              <w:spacing w:after="40" w:line="252"/>
            </w:pPr>
            <w:r>
              <w:rPr>
                <w:sz w:val="19"/>
                <w:szCs w:val="19"/>
              </w:rPr>
              <w:t xml:space="preserve">Signale les clauses absentes et les incohérences</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juge pas l’équilibre du contrat sans vos positions</w:t>
            </w:r>
          </w:p>
          <w:p>
            <w:pPr>
              <w:pStyle w:val="ListParagraph"/>
              <w:numPr>
                <w:ilvl w:val="0"/>
                <w:numId w:val="2"/>
              </w:numPr>
              <w:spacing w:after="40" w:line="252"/>
            </w:pPr>
            <w:r>
              <w:rPr>
                <w:sz w:val="19"/>
                <w:szCs w:val="19"/>
              </w:rPr>
              <w:t xml:space="preserve">Peut manquer une clause déplacée dans une annexe ou sous un intitulé inhabituel</w:t>
            </w:r>
          </w:p>
          <w:p>
            <w:pPr>
              <w:pStyle w:val="ListParagraph"/>
              <w:numPr>
                <w:ilvl w:val="0"/>
                <w:numId w:val="2"/>
              </w:numPr>
              <w:spacing w:after="40" w:line="252"/>
            </w:pPr>
            <w:r>
              <w:rPr>
                <w:sz w:val="19"/>
                <w:szCs w:val="19"/>
              </w:rPr>
              <w:t xml:space="preserve">Ne lit pas les pièces que vous n’avez pas fournies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 contrat dans l’outil validé par la DSI, pseudonymisé si possible (parties, prix). Jamais un contrat de tiers reçu sous NDA dans un compte personnel.</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contrats dans </w:t>
            </w:r>
            <w:r>
              <w:rPr>
                <w:sz w:val="19"/>
                <w:szCs w:val="19"/>
                <w:highlight w:val="yellow"/>
              </w:rPr>
              <w:t xml:space="preserve">[organisation]</w:t>
            </w:r>
            <w:r>
              <w:rPr>
                <w:sz w:val="19"/>
                <w:szCs w:val="19"/>
              </w:rPr>
              <w:t xml:space="preserve">.</w:t>
            </w:r>
          </w:p>
          <w:p>
            <w:pPr>
              <w:spacing w:after="70" w:line="252"/>
            </w:pPr>
            <w:r>
              <w:rPr>
                <w:b/>
                <w:bCs/>
                <w:color w:val="1D659C"/>
                <w:sz w:val="19"/>
                <w:szCs w:val="19"/>
              </w:rPr>
              <w:t xml:space="preserve">Contexte : </w:t>
            </w:r>
            <w:r>
              <w:rPr>
                <w:sz w:val="19"/>
                <w:szCs w:val="19"/>
              </w:rPr>
              <w:t xml:space="preserve">Contrat ci-dessous : </w:t>
            </w:r>
            <w:r>
              <w:rPr>
                <w:sz w:val="19"/>
                <w:szCs w:val="19"/>
                <w:highlight w:val="yellow"/>
              </w:rPr>
              <w:t xml:space="preserve">[type, par exemple contrat de prestation informatique]</w:t>
            </w:r>
            <w:r>
              <w:rPr>
                <w:sz w:val="19"/>
                <w:szCs w:val="19"/>
              </w:rPr>
              <w:t xml:space="preserve">. Nous sommes </w:t>
            </w:r>
            <w:r>
              <w:rPr>
                <w:sz w:val="19"/>
                <w:szCs w:val="19"/>
                <w:highlight w:val="yellow"/>
              </w:rPr>
              <w:t xml:space="preserve">[client ou fournisseur]</w:t>
            </w:r>
            <w:r>
              <w:rPr>
                <w:sz w:val="19"/>
                <w:szCs w:val="19"/>
              </w:rPr>
              <w:t xml:space="preserve">. Je prépare une revue et j’ai besoin d’une fiche d’identité exacte du contrat.</w:t>
            </w:r>
          </w:p>
          <w:p>
            <w:pPr>
              <w:spacing w:after="70" w:line="252"/>
            </w:pPr>
            <w:r>
              <w:rPr>
                <w:b/>
                <w:bCs/>
                <w:color w:val="1D659C"/>
                <w:sz w:val="19"/>
                <w:szCs w:val="19"/>
              </w:rPr>
              <w:t xml:space="preserve">Tâche : </w:t>
            </w:r>
            <w:r>
              <w:rPr>
                <w:sz w:val="19"/>
                <w:szCs w:val="19"/>
              </w:rPr>
              <w:t xml:space="preserve">Remplis le tableau des clauses clés : objet et périmètre ; durée, renouvellement, préavis ; prix, indexation, pénalités ; obligations principales de chaque partie ; responsabilité et plafonds ; garanties ; propriété intellectuelle ; données personnelles et confidentialité ; sous-traitance ; résiliation (motifs, délais, conséquences) ; loi applicable et règlement des litiges ; clauses inhabituelles. Pour chaque ligne : numéro d’article, citation exacte du passage clé, résumé en une phrase.</w:t>
            </w:r>
          </w:p>
          <w:p>
            <w:pPr>
              <w:spacing w:after="70" w:line="252"/>
            </w:pPr>
            <w:r>
              <w:rPr>
                <w:b/>
                <w:bCs/>
                <w:color w:val="1D659C"/>
                <w:sz w:val="19"/>
                <w:szCs w:val="19"/>
              </w:rPr>
              <w:t xml:space="preserve">Format : </w:t>
            </w:r>
            <w:r>
              <w:rPr>
                <w:sz w:val="19"/>
                <w:szCs w:val="19"/>
              </w:rPr>
              <w:t xml:space="preserve">tableau « clause | article | citation | résumé ». Si une clause est absente, écris « absente ».</w:t>
            </w:r>
          </w:p>
          <w:p>
            <w:pPr>
              <w:spacing w:after="70" w:line="252"/>
            </w:pPr>
            <w:r>
              <w:rPr>
                <w:b/>
                <w:bCs/>
                <w:color w:val="1D659C"/>
                <w:sz w:val="19"/>
                <w:szCs w:val="19"/>
              </w:rPr>
              <w:t xml:space="preserve">Vérification : </w:t>
            </w:r>
            <w:r>
              <w:rPr>
                <w:sz w:val="19"/>
                <w:szCs w:val="19"/>
              </w:rPr>
              <w:t xml:space="preserve">n’invente aucun article ; si deux clauses se contredisent, signale-le dans une ligne « incohérences ».</w:t>
            </w:r>
          </w:p>
          <w:p>
            <w:pPr>
              <w:spacing w:after="70" w:line="252"/>
            </w:pPr>
            <w:r>
              <w:rPr>
                <w:b/>
                <w:bCs/>
                <w:color w:val="1D659C"/>
                <w:sz w:val="19"/>
                <w:szCs w:val="19"/>
              </w:rPr>
              <w:t xml:space="preserve">Contrat : </w:t>
            </w:r>
            <w:r>
              <w:rPr>
                <w:sz w:val="19"/>
                <w:szCs w:val="19"/>
                <w:highlight w:val="yellow"/>
              </w:rPr>
              <w:t xml:space="preserve">[coller ou joindre]</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Ouvrir chaque article cité et confirmer la citation.</w:t>
      </w:r>
    </w:p>
    <w:p>
      <w:pPr>
        <w:pStyle w:val="ListParagraph"/>
        <w:numPr>
          <w:ilvl w:val="0"/>
          <w:numId w:val="5"/>
        </w:numPr>
        <w:spacing w:after="60" w:line="264"/>
      </w:pPr>
      <w:r>
        <w:t xml:space="preserve">Vérifier les « absentes » : la clause peut être dans une annexe ou sous un autre titre.</w:t>
      </w:r>
    </w:p>
    <w:p>
      <w:pPr>
        <w:pStyle w:val="ListParagraph"/>
        <w:numPr>
          <w:ilvl w:val="0"/>
          <w:numId w:val="5"/>
        </w:numPr>
        <w:spacing w:after="60" w:line="264"/>
      </w:pPr>
      <w:r>
        <w:t xml:space="preserve">Compléter la ligne « clauses inhabituelles » avec votre lecture : c’est là que se cache le risque.</w:t>
      </w:r>
    </w:p>
    <w:p>
      <w:pPr>
        <w:spacing w:after="80" w:before="60"/>
      </w:pPr>
      <w:r>
        <w:rPr>
          <w:b/>
          <w:bCs/>
          <w:color w:val="10213A"/>
        </w:rPr>
        <w:t xml:space="preserve">Variante. </w:t>
      </w:r>
      <w:r>
        <w:t xml:space="preserve">« Produis la même fiche pour les trois contrats joints et mets les colonnes côte à côte, un contrat par colonne. »</w:t>
      </w:r>
    </w:p>
    <w:p>
      <w:pPr>
        <w:pStyle w:val="Heading3"/>
        <w:pageBreakBefore/>
      </w:pPr>
      <w:r>
        <w:t xml:space="preserve">Fiche 12  ·  Analyser un contrat contre le playbook</w:t>
      </w:r>
    </w:p>
    <w:p>
      <w:pPr>
        <w:spacing w:after="80"/>
      </w:pPr>
      <w:r>
        <w:rPr>
          <w:color w:val="5B6B7B"/>
          <w:sz w:val="17"/>
          <w:szCs w:val="17"/>
        </w:rPr>
        <w:t xml:space="preserve">Niveau 2  ·  Analyse contractuelle  ·  Capacité : Analyser  ·  Outils : tous, outil validé  ·  Temps gagné typique : 1 à 2 heures par contrat</w:t>
      </w:r>
    </w:p>
    <w:p>
      <w:pPr>
        <w:spacing w:after="100" w:line="264"/>
      </w:pPr>
      <w:r>
        <w:rPr>
          <w:b/>
          <w:bCs/>
          <w:color w:val="10213A"/>
        </w:rPr>
        <w:t xml:space="preserve">La situation. </w:t>
      </w:r>
      <w:r>
        <w:t xml:space="preserve">Le projet de contrat du fournisseur arrive. Votre équipe a des positions standard : plafond de responsabilité à 100 % du prix annuel, résiliation pour convenance à trois mois, données hébergées dans l’Union européenne. C’est votre playbook.</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Compare clause par clause à vos positions</w:t>
            </w:r>
          </w:p>
          <w:p>
            <w:pPr>
              <w:pStyle w:val="ListParagraph"/>
              <w:numPr>
                <w:ilvl w:val="0"/>
                <w:numId w:val="2"/>
              </w:numPr>
              <w:spacing w:after="40" w:line="252"/>
            </w:pPr>
            <w:r>
              <w:rPr>
                <w:sz w:val="19"/>
                <w:szCs w:val="19"/>
              </w:rPr>
              <w:t xml:space="preserve">Classe les écarts selon votre grille</w:t>
            </w:r>
          </w:p>
          <w:p>
            <w:pPr>
              <w:pStyle w:val="ListParagraph"/>
              <w:numPr>
                <w:ilvl w:val="0"/>
                <w:numId w:val="2"/>
              </w:numPr>
              <w:spacing w:after="40" w:line="252"/>
            </w:pPr>
            <w:r>
              <w:rPr>
                <w:sz w:val="19"/>
                <w:szCs w:val="19"/>
              </w:rPr>
              <w:t xml:space="preserve">Propose des reformulations fondées sur vos positions de repli</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votre marge de négociation réelle</w:t>
            </w:r>
          </w:p>
          <w:p>
            <w:pPr>
              <w:pStyle w:val="ListParagraph"/>
              <w:numPr>
                <w:ilvl w:val="0"/>
                <w:numId w:val="2"/>
              </w:numPr>
              <w:spacing w:after="40" w:line="252"/>
            </w:pPr>
            <w:r>
              <w:rPr>
                <w:sz w:val="19"/>
                <w:szCs w:val="19"/>
              </w:rPr>
              <w:t xml:space="preserve">Ne connaît pas l’historique avec ce fournisseur</w:t>
            </w:r>
          </w:p>
          <w:p>
            <w:pPr>
              <w:pStyle w:val="ListParagraph"/>
              <w:numPr>
                <w:ilvl w:val="0"/>
                <w:numId w:val="2"/>
              </w:numPr>
              <w:spacing w:after="40" w:line="252"/>
            </w:pPr>
            <w:r>
              <w:rPr>
                <w:sz w:val="19"/>
                <w:szCs w:val="19"/>
              </w:rPr>
              <w:t xml:space="preserve">Peut qualifier un écart mineur de majeur, ou l’inverse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Votre playbook est un document interne sensible : outil validé obligatoire. Le contrat, pseudonymisé.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contrats senior, chargé de la revue des contrats fournisseurs pour </w:t>
            </w:r>
            <w:r>
              <w:rPr>
                <w:sz w:val="19"/>
                <w:szCs w:val="19"/>
                <w:highlight w:val="yellow"/>
              </w:rPr>
              <w:t xml:space="preserve">[organisation]</w:t>
            </w:r>
            <w:r>
              <w:rPr>
                <w:sz w:val="19"/>
                <w:szCs w:val="19"/>
              </w:rPr>
              <w:t xml:space="preserve">.</w:t>
            </w:r>
          </w:p>
          <w:p>
            <w:pPr>
              <w:spacing w:after="70" w:line="252"/>
            </w:pPr>
            <w:r>
              <w:rPr>
                <w:b/>
                <w:bCs/>
                <w:color w:val="1D659C"/>
                <w:sz w:val="19"/>
                <w:szCs w:val="19"/>
              </w:rPr>
              <w:t xml:space="preserve">Contexte : </w:t>
            </w:r>
            <w:r>
              <w:rPr>
                <w:sz w:val="19"/>
                <w:szCs w:val="19"/>
              </w:rPr>
              <w:t xml:space="preserve">Voici notre playbook : pour chaque clause, notre position standard, notre position de repli et la ligne rouge. Voici le projet de contrat reçu de </w:t>
            </w:r>
            <w:r>
              <w:rPr>
                <w:sz w:val="19"/>
                <w:szCs w:val="19"/>
                <w:highlight w:val="yellow"/>
              </w:rPr>
              <w:t xml:space="preserve">[fournisseur, pseudonymisé]</w:t>
            </w:r>
            <w:r>
              <w:rPr>
                <w:sz w:val="19"/>
                <w:szCs w:val="19"/>
              </w:rPr>
              <w:t xml:space="preserve"> pour </w:t>
            </w:r>
            <w:r>
              <w:rPr>
                <w:sz w:val="19"/>
                <w:szCs w:val="19"/>
                <w:highlight w:val="yellow"/>
              </w:rPr>
              <w:t xml:space="preserve">[objet]</w:t>
            </w:r>
            <w:r>
              <w:rPr>
                <w:sz w:val="19"/>
                <w:szCs w:val="19"/>
              </w:rPr>
              <w:t xml:space="preserve">. Enjeu : </w:t>
            </w:r>
            <w:r>
              <w:rPr>
                <w:sz w:val="19"/>
                <w:szCs w:val="19"/>
                <w:highlight w:val="yellow"/>
              </w:rPr>
              <w:t xml:space="preserve">[montant approximatif, criticité]</w:t>
            </w:r>
            <w:r>
              <w:rPr>
                <w:sz w:val="19"/>
                <w:szCs w:val="19"/>
              </w:rPr>
              <w:t xml:space="preserve">.</w:t>
            </w:r>
          </w:p>
          <w:p>
            <w:pPr>
              <w:spacing w:after="70" w:line="252"/>
            </w:pPr>
            <w:r>
              <w:rPr>
                <w:b/>
                <w:bCs/>
                <w:color w:val="1D659C"/>
                <w:sz w:val="19"/>
                <w:szCs w:val="19"/>
              </w:rPr>
              <w:t xml:space="preserve">Tâche : </w:t>
            </w:r>
            <w:r>
              <w:rPr>
                <w:sz w:val="19"/>
                <w:szCs w:val="19"/>
              </w:rPr>
              <w:t xml:space="preserve">Compare le contrat au playbook, clause par clause, avec un statut : (1) conforme ; (2) écart acceptable dans le repli ; (3) écart au-delà du repli ; (4) ligne rouge franchie ; (5) clause du playbook absente du contrat. Pour chaque écart, cite le texte du contrat, explique la conséquence pratique pour nous, propose une reformulation alignée sur notre position de repli.</w:t>
            </w:r>
          </w:p>
          <w:p>
            <w:pPr>
              <w:spacing w:after="70" w:line="252"/>
            </w:pPr>
            <w:r>
              <w:rPr>
                <w:b/>
                <w:bCs/>
                <w:color w:val="1D659C"/>
                <w:sz w:val="19"/>
                <w:szCs w:val="19"/>
              </w:rPr>
              <w:t xml:space="preserve">Format : </w:t>
            </w:r>
            <w:r>
              <w:rPr>
                <w:sz w:val="19"/>
                <w:szCs w:val="19"/>
              </w:rPr>
              <w:t xml:space="preserve">tableau « clause | statut 1 à 5 | citation | conséquence | reformulation proposée », puis une synthèse de cinq lignes qui classe les trois points à négocier en priorité.</w:t>
            </w:r>
          </w:p>
          <w:p>
            <w:pPr>
              <w:spacing w:after="70" w:line="252"/>
            </w:pPr>
            <w:r>
              <w:rPr>
                <w:b/>
                <w:bCs/>
                <w:color w:val="1D659C"/>
                <w:sz w:val="19"/>
                <w:szCs w:val="19"/>
              </w:rPr>
              <w:t xml:space="preserve">Vérification : </w:t>
            </w:r>
            <w:r>
              <w:rPr>
                <w:sz w:val="19"/>
                <w:szCs w:val="19"/>
              </w:rPr>
              <w:t xml:space="preserve">ne qualifie une ligne rouge que si le playbook la nomme explicitement ; sinon écris « à qualifier par le juriste ».</w:t>
            </w:r>
          </w:p>
          <w:p>
            <w:pPr>
              <w:spacing w:after="70" w:line="252"/>
            </w:pPr>
            <w:r>
              <w:rPr>
                <w:b/>
                <w:bCs/>
                <w:color w:val="1D659C"/>
                <w:sz w:val="19"/>
                <w:szCs w:val="19"/>
              </w:rPr>
              <w:t xml:space="preserve">Playbook : </w:t>
            </w:r>
            <w:r>
              <w:rPr>
                <w:sz w:val="19"/>
                <w:szCs w:val="19"/>
                <w:highlight w:val="yellow"/>
              </w:rPr>
              <w:t xml:space="preserve">[coller]</w:t>
            </w:r>
          </w:p>
          <w:p>
            <w:pPr>
              <w:spacing w:after="70" w:line="252"/>
            </w:pPr>
            <w:r>
              <w:rPr>
                <w:b/>
                <w:bCs/>
                <w:color w:val="1D659C"/>
                <w:sz w:val="19"/>
                <w:szCs w:val="19"/>
              </w:rPr>
              <w:t xml:space="preserve">Contrat : </w:t>
            </w:r>
            <w:r>
              <w:rPr>
                <w:sz w:val="19"/>
                <w:szCs w:val="19"/>
                <w:highlight w:val="yellow"/>
              </w:rPr>
              <w:t xml:space="preserve">[coller ou joindre]</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Relire tous les statuts 3 et 4 dans le texte du contrat.</w:t>
      </w:r>
    </w:p>
    <w:p>
      <w:pPr>
        <w:pStyle w:val="ListParagraph"/>
        <w:numPr>
          <w:ilvl w:val="0"/>
          <w:numId w:val="5"/>
        </w:numPr>
        <w:spacing w:after="60" w:line="264"/>
      </w:pPr>
      <w:r>
        <w:t xml:space="preserve">Vérifier que les reformulations ne dépassent pas ce que vous pouvez demander.</w:t>
      </w:r>
    </w:p>
    <w:p>
      <w:pPr>
        <w:pStyle w:val="ListParagraph"/>
        <w:numPr>
          <w:ilvl w:val="0"/>
          <w:numId w:val="5"/>
        </w:numPr>
        <w:spacing w:after="60" w:line="264"/>
      </w:pPr>
      <w:r>
        <w:t xml:space="preserve">Décider vous-même de l’ordre de négociation : l’IA ne connaît pas la relation commerciale.</w:t>
      </w:r>
    </w:p>
    <w:p>
      <w:pPr>
        <w:spacing w:after="80" w:before="60"/>
      </w:pPr>
      <w:r>
        <w:rPr>
          <w:b/>
          <w:bCs/>
          <w:color w:val="10213A"/>
        </w:rPr>
        <w:t xml:space="preserve">Variante. </w:t>
      </w:r>
      <w:r>
        <w:t xml:space="preserve">Quand le playbook est stable, il devient un assistant permanent que toute l’équipe utilise (fiche 23). Fiche associée sur app.nextstart.ai : « Assistant IA clauses et playbook contractuel ».</w:t>
      </w:r>
    </w:p>
    <w:p>
      <w:pPr>
        <w:pStyle w:val="Heading3"/>
        <w:pageBreakBefore/>
      </w:pPr>
      <w:r>
        <w:t xml:space="preserve">Fiche 13  ·  Comparer deux versions d’un contrat</w:t>
      </w:r>
    </w:p>
    <w:p>
      <w:pPr>
        <w:spacing w:after="80"/>
      </w:pPr>
      <w:r>
        <w:rPr>
          <w:color w:val="5B6B7B"/>
          <w:sz w:val="17"/>
          <w:szCs w:val="17"/>
        </w:rPr>
        <w:t xml:space="preserve">Niveau 2  ·  Comparaison  ·  Capacité : Analyser  ·  Outils : tous, outil validé  ·  Temps gagné typique : 45 minutes par tour de négociation</w:t>
      </w:r>
    </w:p>
    <w:p>
      <w:pPr>
        <w:spacing w:after="100" w:line="264"/>
      </w:pPr>
      <w:r>
        <w:rPr>
          <w:b/>
          <w:bCs/>
          <w:color w:val="10213A"/>
        </w:rPr>
        <w:t xml:space="preserve">La situation. </w:t>
      </w:r>
      <w:r>
        <w:t xml:space="preserve">Le fournisseur renvoie « sa » version. Le suivi des modifications est absent ou incomplet. Vous voulez savoir exactement ce qui a changé et ce que cela implique.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Repère ajouts, suppressions et déplacements</w:t>
            </w:r>
          </w:p>
          <w:p>
            <w:pPr>
              <w:pStyle w:val="ListParagraph"/>
              <w:numPr>
                <w:ilvl w:val="0"/>
                <w:numId w:val="2"/>
              </w:numPr>
              <w:spacing w:after="40" w:line="252"/>
            </w:pPr>
            <w:r>
              <w:rPr>
                <w:sz w:val="19"/>
                <w:szCs w:val="19"/>
              </w:rPr>
              <w:t xml:space="preserve">Explique la conséquence de chaque modification</w:t>
            </w:r>
          </w:p>
          <w:p>
            <w:pPr>
              <w:pStyle w:val="ListParagraph"/>
              <w:numPr>
                <w:ilvl w:val="0"/>
                <w:numId w:val="2"/>
              </w:numPr>
              <w:spacing w:after="40" w:line="252"/>
            </w:pPr>
            <w:r>
              <w:rPr>
                <w:sz w:val="19"/>
                <w:szCs w:val="19"/>
              </w:rPr>
              <w:t xml:space="preserve">Distingue changement de forme et changement de fond</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voit pas un changement dans une annexe non fournie</w:t>
            </w:r>
          </w:p>
          <w:p>
            <w:pPr>
              <w:pStyle w:val="ListParagraph"/>
              <w:numPr>
                <w:ilvl w:val="0"/>
                <w:numId w:val="2"/>
              </w:numPr>
              <w:spacing w:after="40" w:line="252"/>
            </w:pPr>
            <w:r>
              <w:rPr>
                <w:sz w:val="19"/>
                <w:szCs w:val="19"/>
              </w:rPr>
              <w:t xml:space="preserve">Peut manquer un mot changé dans une longue clause (un « et » devenu « ou »)</w:t>
            </w:r>
          </w:p>
          <w:p>
            <w:pPr>
              <w:pStyle w:val="ListParagraph"/>
              <w:numPr>
                <w:ilvl w:val="0"/>
                <w:numId w:val="2"/>
              </w:numPr>
              <w:spacing w:after="40" w:line="252"/>
            </w:pPr>
            <w:r>
              <w:rPr>
                <w:sz w:val="19"/>
                <w:szCs w:val="19"/>
              </w:rPr>
              <w:t xml:space="preserve">Ne connaît pas ce qui avait été convenu oralement</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Les deux versions pseudonymisées, dans l’outil validé.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contrats et tu compares deux versions d’un même contrat.</w:t>
            </w:r>
          </w:p>
          <w:p>
            <w:pPr>
              <w:spacing w:after="70" w:line="252"/>
            </w:pPr>
            <w:r>
              <w:rPr>
                <w:b/>
                <w:bCs/>
                <w:color w:val="1D659C"/>
                <w:sz w:val="19"/>
                <w:szCs w:val="19"/>
              </w:rPr>
              <w:t xml:space="preserve">Contexte : </w:t>
            </w:r>
            <w:r>
              <w:rPr>
                <w:sz w:val="19"/>
                <w:szCs w:val="19"/>
              </w:rPr>
              <w:t xml:space="preserve">Version A : notre dernière version, envoyée le </w:t>
            </w:r>
            <w:r>
              <w:rPr>
                <w:sz w:val="19"/>
                <w:szCs w:val="19"/>
                <w:highlight w:val="yellow"/>
              </w:rPr>
              <w:t xml:space="preserve">[date]</w:t>
            </w:r>
            <w:r>
              <w:rPr>
                <w:sz w:val="19"/>
                <w:szCs w:val="19"/>
              </w:rPr>
              <w:t xml:space="preserve">. Version B : version reçue de </w:t>
            </w:r>
            <w:r>
              <w:rPr>
                <w:sz w:val="19"/>
                <w:szCs w:val="19"/>
                <w:highlight w:val="yellow"/>
              </w:rPr>
              <w:t xml:space="preserve">[contrepartie]</w:t>
            </w:r>
            <w:r>
              <w:rPr>
                <w:sz w:val="19"/>
                <w:szCs w:val="19"/>
              </w:rPr>
              <w:t xml:space="preserve"> le </w:t>
            </w:r>
            <w:r>
              <w:rPr>
                <w:sz w:val="19"/>
                <w:szCs w:val="19"/>
                <w:highlight w:val="yellow"/>
              </w:rPr>
              <w:t xml:space="preserve">[date]</w:t>
            </w:r>
            <w:r>
              <w:rPr>
                <w:sz w:val="19"/>
                <w:szCs w:val="19"/>
              </w:rPr>
              <w:t xml:space="preserve">. Nous sommes </w:t>
            </w:r>
            <w:r>
              <w:rPr>
                <w:sz w:val="19"/>
                <w:szCs w:val="19"/>
                <w:highlight w:val="yellow"/>
              </w:rPr>
              <w:t xml:space="preserve">[client ou fournisseur]</w:t>
            </w:r>
            <w:r>
              <w:rPr>
                <w:sz w:val="19"/>
                <w:szCs w:val="19"/>
              </w:rPr>
              <w:t xml:space="preserve">.</w:t>
            </w:r>
          </w:p>
          <w:p>
            <w:pPr>
              <w:spacing w:after="70" w:line="252"/>
            </w:pPr>
            <w:r>
              <w:rPr>
                <w:b/>
                <w:bCs/>
                <w:color w:val="1D659C"/>
                <w:sz w:val="19"/>
                <w:szCs w:val="19"/>
              </w:rPr>
              <w:t xml:space="preserve">Tâche : </w:t>
            </w:r>
            <w:r>
              <w:rPr>
                <w:sz w:val="19"/>
                <w:szCs w:val="19"/>
              </w:rPr>
              <w:t xml:space="preserve">(1) Liste toutes les différences entre A et B, article par article, en citant les deux textes. (2) Pour chacune : forme ou fond ; en notre faveur, en leur faveur ou neutre ; conséquence concrète. (3) Signale les changements discrets à fort effet : connecteurs (et, ou), négations, délais, plafonds, définitions, renvois. (4) Liste les articles supprimés ou ajoutés.</w:t>
            </w:r>
          </w:p>
          <w:p>
            <w:pPr>
              <w:spacing w:after="70" w:line="252"/>
            </w:pPr>
            <w:r>
              <w:rPr>
                <w:b/>
                <w:bCs/>
                <w:color w:val="1D659C"/>
                <w:sz w:val="19"/>
                <w:szCs w:val="19"/>
              </w:rPr>
              <w:t xml:space="preserve">Format : </w:t>
            </w:r>
            <w:r>
              <w:rPr>
                <w:sz w:val="19"/>
                <w:szCs w:val="19"/>
              </w:rPr>
              <w:t xml:space="preserve">tableau « article | texte A | texte B | forme ou fond | sens | conséquence », puis les cinq modifications les plus importantes.</w:t>
            </w:r>
          </w:p>
          <w:p>
            <w:pPr>
              <w:spacing w:after="70" w:line="252"/>
            </w:pPr>
            <w:r>
              <w:rPr>
                <w:b/>
                <w:bCs/>
                <w:color w:val="1D659C"/>
                <w:sz w:val="19"/>
                <w:szCs w:val="19"/>
              </w:rPr>
              <w:t xml:space="preserve">Vérification : </w:t>
            </w:r>
            <w:r>
              <w:rPr>
                <w:sz w:val="19"/>
                <w:szCs w:val="19"/>
              </w:rPr>
              <w:t xml:space="preserve">si tu n’es pas certain qu’un passage a changé, écris « à vérifier » plutôt que d’affirmer.</w:t>
            </w:r>
          </w:p>
          <w:p>
            <w:pPr>
              <w:spacing w:after="70" w:line="252"/>
            </w:pPr>
            <w:r>
              <w:rPr>
                <w:b/>
                <w:bCs/>
                <w:color w:val="1D659C"/>
                <w:sz w:val="19"/>
                <w:szCs w:val="19"/>
              </w:rPr>
              <w:t xml:space="preserve">Version A : </w:t>
            </w:r>
            <w:r>
              <w:rPr>
                <w:sz w:val="19"/>
                <w:szCs w:val="19"/>
                <w:highlight w:val="yellow"/>
              </w:rPr>
              <w:t xml:space="preserve">[coller]</w:t>
            </w:r>
          </w:p>
          <w:p>
            <w:pPr>
              <w:spacing w:after="70" w:line="252"/>
            </w:pPr>
            <w:r>
              <w:rPr>
                <w:b/>
                <w:bCs/>
                <w:color w:val="1D659C"/>
                <w:sz w:val="19"/>
                <w:szCs w:val="19"/>
              </w:rPr>
              <w:t xml:space="preserve">Version B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Lancer aussi la comparaison automatique de Word (Révision, Comparer) : l’IA explique, Word ne rate rien.</w:t>
      </w:r>
    </w:p>
    <w:p>
      <w:pPr>
        <w:pStyle w:val="ListParagraph"/>
        <w:numPr>
          <w:ilvl w:val="0"/>
          <w:numId w:val="5"/>
        </w:numPr>
        <w:spacing w:after="60" w:line="264"/>
      </w:pPr>
      <w:r>
        <w:t xml:space="preserve">Relire la colonne « sens » : dans une clause réciproque, l’IA confond parfois les parties.</w:t>
      </w:r>
    </w:p>
    <w:p>
      <w:pPr>
        <w:pStyle w:val="ListParagraph"/>
        <w:numPr>
          <w:ilvl w:val="0"/>
          <w:numId w:val="5"/>
        </w:numPr>
        <w:spacing w:after="60" w:line="264"/>
      </w:pPr>
      <w:r>
        <w:t xml:space="preserve">Vérifier définitions et renvois modifiés, qui changent le sens de clauses non touchées.</w:t>
      </w:r>
    </w:p>
    <w:p>
      <w:pPr>
        <w:spacing w:after="80" w:before="60"/>
      </w:pPr>
      <w:r>
        <w:rPr>
          <w:b/>
          <w:bCs/>
          <w:color w:val="10213A"/>
        </w:rPr>
        <w:t xml:space="preserve">Variante. </w:t>
      </w:r>
      <w:r>
        <w:t xml:space="preserve">« Rédige l’email à la contrepartie : accepte les modifications de forme, refuse les points 2 et 4 en expliquant pourquoi, propose un compromis sur le point 3. »</w:t>
      </w:r>
    </w:p>
    <w:p>
      <w:pPr>
        <w:pStyle w:val="Heading3"/>
        <w:pageBreakBefore/>
      </w:pPr>
      <w:r>
        <w:t xml:space="preserve">Fiche 14  ·  Comparer plusieurs textes ou juridictions sur un point</w:t>
      </w:r>
    </w:p>
    <w:p>
      <w:pPr>
        <w:spacing w:after="80"/>
      </w:pPr>
      <w:r>
        <w:rPr>
          <w:color w:val="5B6B7B"/>
          <w:sz w:val="17"/>
          <w:szCs w:val="17"/>
        </w:rPr>
        <w:t xml:space="preserve">Niveau 2  ·  Comparaison  ·  Capacité : Rechercher  ·  Outils : tous  ·  Temps gagné typique : 2 heures pour une première grille</w:t>
      </w:r>
    </w:p>
    <w:p>
      <w:pPr>
        <w:spacing w:after="100" w:line="264"/>
      </w:pPr>
      <w:r>
        <w:rPr>
          <w:b/>
          <w:bCs/>
          <w:color w:val="10213A"/>
        </w:rPr>
        <w:t xml:space="preserve">La situation. </w:t>
      </w:r>
      <w:r>
        <w:t xml:space="preserve">Le métier veut lancer le même service dans quatre pays. Vous devez comparer les obligations (délai de rétractation, information précontractuelle, durée de conservation) à partir des textes que vous avez réunis.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Structure une comparaison à partir des textes fournis</w:t>
            </w:r>
          </w:p>
          <w:p>
            <w:pPr>
              <w:pStyle w:val="ListParagraph"/>
              <w:numPr>
                <w:ilvl w:val="0"/>
                <w:numId w:val="2"/>
              </w:numPr>
              <w:spacing w:after="40" w:line="252"/>
            </w:pPr>
            <w:r>
              <w:rPr>
                <w:sz w:val="19"/>
                <w:szCs w:val="19"/>
              </w:rPr>
              <w:t xml:space="preserve">Repère les différences et pose les bonnes colonnes</w:t>
            </w:r>
          </w:p>
          <w:p>
            <w:pPr>
              <w:pStyle w:val="ListParagraph"/>
              <w:numPr>
                <w:ilvl w:val="0"/>
                <w:numId w:val="2"/>
              </w:numPr>
              <w:spacing w:after="40" w:line="252"/>
            </w:pPr>
            <w:r>
              <w:rPr>
                <w:sz w:val="19"/>
                <w:szCs w:val="19"/>
              </w:rPr>
              <w:t xml:space="preserve">Formule les questions pour les correspondants locaux</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de façon fiable le droit positif à jour de chaque pays : sans les textes, il invente ou mélange</w:t>
            </w:r>
          </w:p>
          <w:p>
            <w:pPr>
              <w:pStyle w:val="ListParagraph"/>
              <w:numPr>
                <w:ilvl w:val="0"/>
                <w:numId w:val="2"/>
              </w:numPr>
              <w:spacing w:after="40" w:line="252"/>
            </w:pPr>
            <w:r>
              <w:rPr>
                <w:sz w:val="19"/>
                <w:szCs w:val="19"/>
              </w:rPr>
              <w:t xml:space="preserve">Ne remplace pas le correspondant local</w:t>
            </w:r>
          </w:p>
          <w:p>
            <w:pPr>
              <w:pStyle w:val="ListParagraph"/>
              <w:numPr>
                <w:ilvl w:val="0"/>
                <w:numId w:val="2"/>
              </w:numPr>
              <w:spacing w:after="40" w:line="252"/>
            </w:pPr>
            <w:r>
              <w:rPr>
                <w:sz w:val="19"/>
                <w:szCs w:val="19"/>
              </w:rPr>
              <w:t xml:space="preserve">Ne date pas les textes si vous ne le faites pas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Les textes officiels que vous avez réunis sont publics. La description du projet métier, si elle est confidentielle, n’entre que dans un outil validé.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en droit comparé et tu travailles uniquement à partir des textes que je te fournis.</w:t>
            </w:r>
          </w:p>
          <w:p>
            <w:pPr>
              <w:spacing w:after="70" w:line="252"/>
            </w:pPr>
            <w:r>
              <w:rPr>
                <w:b/>
                <w:bCs/>
                <w:color w:val="1D659C"/>
                <w:sz w:val="19"/>
                <w:szCs w:val="19"/>
              </w:rPr>
              <w:t xml:space="preserve">Contexte : </w:t>
            </w:r>
            <w:r>
              <w:rPr>
                <w:sz w:val="19"/>
                <w:szCs w:val="19"/>
              </w:rPr>
              <w:t xml:space="preserve">Nous voulons </w:t>
            </w:r>
            <w:r>
              <w:rPr>
                <w:sz w:val="19"/>
                <w:szCs w:val="19"/>
                <w:highlight w:val="yellow"/>
              </w:rPr>
              <w:t xml:space="preserve">[projet]</w:t>
            </w:r>
            <w:r>
              <w:rPr>
                <w:sz w:val="19"/>
                <w:szCs w:val="19"/>
              </w:rPr>
              <w:t xml:space="preserve"> dans </w:t>
            </w:r>
            <w:r>
              <w:rPr>
                <w:sz w:val="19"/>
                <w:szCs w:val="19"/>
                <w:highlight w:val="yellow"/>
              </w:rPr>
              <w:t xml:space="preserve">[pays]</w:t>
            </w:r>
            <w:r>
              <w:rPr>
                <w:sz w:val="19"/>
                <w:szCs w:val="19"/>
              </w:rPr>
              <w:t xml:space="preserve">. Question : </w:t>
            </w:r>
            <w:r>
              <w:rPr>
                <w:sz w:val="19"/>
                <w:szCs w:val="19"/>
                <w:highlight w:val="yellow"/>
              </w:rPr>
              <w:t xml:space="preserve">[point de droit précis]</w:t>
            </w:r>
            <w:r>
              <w:rPr>
                <w:sz w:val="19"/>
                <w:szCs w:val="19"/>
              </w:rPr>
              <w:t xml:space="preserve">. Ci-dessous, pour chaque pays, les extraits de textes officiels que j’ai réunis, avec leur date.</w:t>
            </w:r>
          </w:p>
          <w:p>
            <w:pPr>
              <w:spacing w:after="70" w:line="252"/>
            </w:pPr>
            <w:r>
              <w:rPr>
                <w:b/>
                <w:bCs/>
                <w:color w:val="1D659C"/>
                <w:sz w:val="19"/>
                <w:szCs w:val="19"/>
              </w:rPr>
              <w:t xml:space="preserve">Tâche : </w:t>
            </w:r>
            <w:r>
              <w:rPr>
                <w:sz w:val="19"/>
                <w:szCs w:val="19"/>
              </w:rPr>
              <w:t xml:space="preserve">Compare les régimes sur </w:t>
            </w:r>
            <w:r>
              <w:rPr>
                <w:sz w:val="19"/>
                <w:szCs w:val="19"/>
                <w:highlight w:val="yellow"/>
              </w:rPr>
              <w:t xml:space="preserve">[critères, par exemple délai, formalisme, sanction, exceptions]</w:t>
            </w:r>
            <w:r>
              <w:rPr>
                <w:sz w:val="19"/>
                <w:szCs w:val="19"/>
              </w:rPr>
              <w:t xml:space="preserve">. Pour chaque case du tableau, cite le passage du texte fourni. Si un critère n’est pas couvert par les textes fournis, écris « non couvert par les textes fournis » et ne complète pas de mémoire.</w:t>
            </w:r>
          </w:p>
          <w:p>
            <w:pPr>
              <w:spacing w:after="70" w:line="252"/>
            </w:pPr>
            <w:r>
              <w:rPr>
                <w:b/>
                <w:bCs/>
                <w:color w:val="1D659C"/>
                <w:sz w:val="19"/>
                <w:szCs w:val="19"/>
              </w:rPr>
              <w:t xml:space="preserve">Format : </w:t>
            </w:r>
            <w:r>
              <w:rPr>
                <w:sz w:val="19"/>
                <w:szCs w:val="19"/>
              </w:rPr>
              <w:t xml:space="preserve">tableau avec les pays en colonnes et les critères en lignes, puis les trois différences qui pèsent le plus sur le projet et les questions à poser aux correspondants locaux.</w:t>
            </w:r>
          </w:p>
          <w:p>
            <w:pPr>
              <w:spacing w:after="70" w:line="252"/>
            </w:pPr>
            <w:r>
              <w:rPr>
                <w:b/>
                <w:bCs/>
                <w:color w:val="1D659C"/>
                <w:sz w:val="19"/>
                <w:szCs w:val="19"/>
              </w:rPr>
              <w:t xml:space="preserve">Vérification : </w:t>
            </w:r>
            <w:r>
              <w:rPr>
                <w:sz w:val="19"/>
                <w:szCs w:val="19"/>
              </w:rPr>
              <w:t xml:space="preserve">termine par la liste des textes utilisés avec leur date, telle que je te l’ai donnée.</w:t>
            </w:r>
          </w:p>
          <w:p>
            <w:pPr>
              <w:spacing w:after="70" w:line="252"/>
            </w:pPr>
            <w:r>
              <w:rPr>
                <w:b/>
                <w:bCs/>
                <w:color w:val="1D659C"/>
                <w:sz w:val="19"/>
                <w:szCs w:val="19"/>
              </w:rPr>
              <w:t xml:space="preserve">Textes : </w:t>
            </w:r>
            <w:r>
              <w:rPr>
                <w:sz w:val="19"/>
                <w:szCs w:val="19"/>
                <w:highlight w:val="yellow"/>
              </w:rPr>
              <w:t xml:space="preserve">[coller par pays]</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Chaque case doit renvoyer à un texte que vous avez fourni ; supprimer toute case qui n’en a pas.</w:t>
      </w:r>
    </w:p>
    <w:p>
      <w:pPr>
        <w:pStyle w:val="ListParagraph"/>
        <w:numPr>
          <w:ilvl w:val="0"/>
          <w:numId w:val="5"/>
        </w:numPr>
        <w:spacing w:after="60" w:line="264"/>
      </w:pPr>
      <w:r>
        <w:t xml:space="preserve">Faire valider par le correspondant local ou le cabinet : l’IA a structuré, elle n’a pas rendu d’avis.</w:t>
      </w:r>
    </w:p>
    <w:p>
      <w:pPr>
        <w:pStyle w:val="ListParagraph"/>
        <w:numPr>
          <w:ilvl w:val="0"/>
          <w:numId w:val="5"/>
        </w:numPr>
        <w:spacing w:after="60" w:line="264"/>
      </w:pPr>
      <w:r>
        <w:t xml:space="preserve">Dater le tableau : les textes bougent.</w:t>
      </w:r>
    </w:p>
    <w:p>
      <w:pPr>
        <w:spacing w:after="80" w:before="60"/>
      </w:pPr>
      <w:r>
        <w:rPr>
          <w:b/>
          <w:bCs/>
          <w:color w:val="10213A"/>
        </w:rPr>
        <w:t xml:space="preserve">Variante. </w:t>
      </w:r>
      <w:r>
        <w:t xml:space="preserve">« Même comparaison entre notre politique interne et le texte réglementaire : où sommes-nous plus stricts, où sommes-nous en écart ? »</w:t>
      </w:r>
    </w:p>
    <w:p>
      <w:pPr>
        <w:pStyle w:val="Heading3"/>
        <w:pageBreakBefore/>
      </w:pPr>
      <w:r>
        <w:t xml:space="preserve">Fiche 15  ·  Rédiger une clause en deux variantes</w:t>
      </w:r>
    </w:p>
    <w:p>
      <w:pPr>
        <w:spacing w:after="80"/>
      </w:pPr>
      <w:r>
        <w:rPr>
          <w:color w:val="5B6B7B"/>
          <w:sz w:val="17"/>
          <w:szCs w:val="17"/>
        </w:rPr>
        <w:t xml:space="preserve">Niveau 2  ·  Rédaction  ·  Capacité : Rédiger  ·  Outils : tous  ·  Temps gagné typique : 30 à 45 minutes par clause</w:t>
      </w:r>
    </w:p>
    <w:p>
      <w:pPr>
        <w:spacing w:after="100" w:line="264"/>
      </w:pPr>
      <w:r>
        <w:rPr>
          <w:b/>
          <w:bCs/>
          <w:color w:val="10213A"/>
        </w:rPr>
        <w:t xml:space="preserve">La situation. </w:t>
      </w:r>
      <w:r>
        <w:t xml:space="preserve">Il vous manque une clause de réversibilité, d’audit, de force majeure ou de protection des données adaptée à un contexte précis. Vous voulez partir d’un texte solide plutôt que d’une page blanche.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Propose une rédaction structurée à partir de vos instructions</w:t>
            </w:r>
          </w:p>
          <w:p>
            <w:pPr>
              <w:pStyle w:val="ListParagraph"/>
              <w:numPr>
                <w:ilvl w:val="0"/>
                <w:numId w:val="2"/>
              </w:numPr>
              <w:spacing w:after="40" w:line="252"/>
            </w:pPr>
            <w:r>
              <w:rPr>
                <w:sz w:val="19"/>
                <w:szCs w:val="19"/>
              </w:rPr>
              <w:t xml:space="preserve">Décline en deux niveaux d’exigence</w:t>
            </w:r>
          </w:p>
          <w:p>
            <w:pPr>
              <w:pStyle w:val="ListParagraph"/>
              <w:numPr>
                <w:ilvl w:val="0"/>
                <w:numId w:val="2"/>
              </w:numPr>
              <w:spacing w:after="40" w:line="252"/>
            </w:pPr>
            <w:r>
              <w:rPr>
                <w:sz w:val="19"/>
                <w:szCs w:val="19"/>
              </w:rPr>
              <w:t xml:space="preserve">Explique ses choix et anticipe les objections</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le détail de votre droit applicable sans que vous le précisiez</w:t>
            </w:r>
          </w:p>
          <w:p>
            <w:pPr>
              <w:pStyle w:val="ListParagraph"/>
              <w:numPr>
                <w:ilvl w:val="0"/>
                <w:numId w:val="2"/>
              </w:numPr>
              <w:spacing w:after="40" w:line="252"/>
            </w:pPr>
            <w:r>
              <w:rPr>
                <w:sz w:val="19"/>
                <w:szCs w:val="19"/>
              </w:rPr>
              <w:t xml:space="preserve">Peut produire une clause d’inspiration anglo-saxonne inadaptée au droit français</w:t>
            </w:r>
          </w:p>
          <w:p>
            <w:pPr>
              <w:pStyle w:val="ListParagraph"/>
              <w:numPr>
                <w:ilvl w:val="0"/>
                <w:numId w:val="2"/>
              </w:numPr>
              <w:spacing w:after="40" w:line="252"/>
            </w:pPr>
            <w:r>
              <w:rPr>
                <w:sz w:val="19"/>
                <w:szCs w:val="19"/>
              </w:rPr>
              <w:t xml:space="preserve">Ne garantit pas la validité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Vos instructions et, si possible, un exemple de clause de votre base. Pas le contrat entier si ce n’est pas nécessaire.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juriste rédacteur de contrats de droit </w:t>
            </w:r>
            <w:r>
              <w:rPr>
                <w:sz w:val="19"/>
                <w:szCs w:val="19"/>
                <w:highlight w:val="yellow"/>
              </w:rPr>
              <w:t xml:space="preserve">[français]</w:t>
            </w:r>
            <w:r>
              <w:rPr>
                <w:sz w:val="19"/>
                <w:szCs w:val="19"/>
              </w:rPr>
              <w:t xml:space="preserve">, précis et sobre.</w:t>
            </w:r>
          </w:p>
          <w:p>
            <w:pPr>
              <w:spacing w:after="70" w:line="252"/>
            </w:pPr>
            <w:r>
              <w:rPr>
                <w:b/>
                <w:bCs/>
                <w:color w:val="1D659C"/>
                <w:sz w:val="19"/>
                <w:szCs w:val="19"/>
              </w:rPr>
              <w:t xml:space="preserve">Contexte : </w:t>
            </w:r>
            <w:r>
              <w:rPr>
                <w:sz w:val="19"/>
                <w:szCs w:val="19"/>
              </w:rPr>
              <w:t xml:space="preserve">Contrat de </w:t>
            </w:r>
            <w:r>
              <w:rPr>
                <w:sz w:val="19"/>
                <w:szCs w:val="19"/>
                <w:highlight w:val="yellow"/>
              </w:rPr>
              <w:t xml:space="preserve">[type]</w:t>
            </w:r>
            <w:r>
              <w:rPr>
                <w:sz w:val="19"/>
                <w:szCs w:val="19"/>
              </w:rPr>
              <w:t xml:space="preserve"> entre </w:t>
            </w:r>
            <w:r>
              <w:rPr>
                <w:sz w:val="19"/>
                <w:szCs w:val="19"/>
                <w:highlight w:val="yellow"/>
              </w:rPr>
              <w:t xml:space="preserve">[nous, rôle]</w:t>
            </w:r>
            <w:r>
              <w:rPr>
                <w:sz w:val="19"/>
                <w:szCs w:val="19"/>
              </w:rPr>
              <w:t xml:space="preserve"> et </w:t>
            </w:r>
            <w:r>
              <w:rPr>
                <w:sz w:val="19"/>
                <w:szCs w:val="19"/>
                <w:highlight w:val="yellow"/>
              </w:rPr>
              <w:t xml:space="preserve">[contrepartie, rôle]</w:t>
            </w:r>
            <w:r>
              <w:rPr>
                <w:sz w:val="19"/>
                <w:szCs w:val="19"/>
              </w:rPr>
              <w:t xml:space="preserve">. Il me manque une clause de </w:t>
            </w:r>
            <w:r>
              <w:rPr>
                <w:sz w:val="19"/>
                <w:szCs w:val="19"/>
                <w:highlight w:val="yellow"/>
              </w:rPr>
              <w:t xml:space="preserve">[objet de la clause]</w:t>
            </w:r>
            <w:r>
              <w:rPr>
                <w:sz w:val="19"/>
                <w:szCs w:val="19"/>
              </w:rPr>
              <w:t xml:space="preserve">. Contraintes : </w:t>
            </w:r>
            <w:r>
              <w:rPr>
                <w:sz w:val="19"/>
                <w:szCs w:val="19"/>
                <w:highlight w:val="yellow"/>
              </w:rPr>
              <w:t xml:space="preserve">[par exemple durée de réversibilité de six mois, assistance facturée au tarif du contrat, restitution des données dans un format ouvert]</w:t>
            </w:r>
            <w:r>
              <w:rPr>
                <w:sz w:val="19"/>
                <w:szCs w:val="19"/>
              </w:rPr>
              <w:t xml:space="preserve">. Pour référence, une clause de notre base : </w:t>
            </w:r>
            <w:r>
              <w:rPr>
                <w:sz w:val="19"/>
                <w:szCs w:val="19"/>
                <w:highlight w:val="yellow"/>
              </w:rPr>
              <w:t xml:space="preserve">[coller, ou « aucune »]</w:t>
            </w:r>
            <w:r>
              <w:rPr>
                <w:sz w:val="19"/>
                <w:szCs w:val="19"/>
              </w:rPr>
              <w:t xml:space="preserve">.</w:t>
            </w:r>
          </w:p>
          <w:p>
            <w:pPr>
              <w:spacing w:after="70" w:line="252"/>
            </w:pPr>
            <w:r>
              <w:rPr>
                <w:b/>
                <w:bCs/>
                <w:color w:val="1D659C"/>
                <w:sz w:val="19"/>
                <w:szCs w:val="19"/>
              </w:rPr>
              <w:t xml:space="preserve">Tâche : </w:t>
            </w:r>
            <w:r>
              <w:rPr>
                <w:sz w:val="19"/>
                <w:szCs w:val="19"/>
              </w:rPr>
              <w:t xml:space="preserve">Rédige deux variantes : (A) protectrice pour nous ; (B) équilibrée, acceptable par la contrepartie. Après chaque variante, commente en cinq lignes les choix de rédaction et les points que la contrepartie contestera probablement.</w:t>
            </w:r>
          </w:p>
          <w:p>
            <w:pPr>
              <w:spacing w:after="70" w:line="252"/>
            </w:pPr>
            <w:r>
              <w:rPr>
                <w:b/>
                <w:bCs/>
                <w:color w:val="1D659C"/>
                <w:sz w:val="19"/>
                <w:szCs w:val="19"/>
              </w:rPr>
              <w:t xml:space="preserve">Format : </w:t>
            </w:r>
            <w:r>
              <w:rPr>
                <w:sz w:val="19"/>
                <w:szCs w:val="19"/>
              </w:rPr>
              <w:t xml:space="preserve">numérotation en alinéas, termes définis avec majuscule initiale, pas d’anglicisme, 300 mots maximum par variante.</w:t>
            </w:r>
          </w:p>
          <w:p>
            <w:pPr>
              <w:spacing w:after="70" w:line="252"/>
            </w:pPr>
            <w:r>
              <w:rPr>
                <w:b/>
                <w:bCs/>
                <w:color w:val="1D659C"/>
                <w:sz w:val="19"/>
                <w:szCs w:val="19"/>
              </w:rPr>
              <w:t xml:space="preserve">Vérification : </w:t>
            </w:r>
            <w:r>
              <w:rPr>
                <w:sz w:val="19"/>
                <w:szCs w:val="19"/>
              </w:rPr>
              <w:t xml:space="preserve">signale toute disposition dont tu n’es pas certain qu’elle soit valable en droit </w:t>
            </w:r>
            <w:r>
              <w:rPr>
                <w:sz w:val="19"/>
                <w:szCs w:val="19"/>
                <w:highlight w:val="yellow"/>
              </w:rPr>
              <w:t xml:space="preserve">[français]</w:t>
            </w:r>
            <w:r>
              <w:rPr>
                <w:sz w:val="19"/>
                <w:szCs w:val="19"/>
              </w:rPr>
              <w:t xml:space="preserve">, et pourquoi.</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Vérifier la compatibilité avec le reste du contrat : définitions, renvois, hiérarchie des documents.</w:t>
      </w:r>
    </w:p>
    <w:p>
      <w:pPr>
        <w:pStyle w:val="ListParagraph"/>
        <w:numPr>
          <w:ilvl w:val="0"/>
          <w:numId w:val="5"/>
        </w:numPr>
        <w:spacing w:after="60" w:line="264"/>
      </w:pPr>
      <w:r>
        <w:t xml:space="preserve">Contrôler la validité au regard du droit applicable, y compris les dispositions impératives.</w:t>
      </w:r>
    </w:p>
    <w:p>
      <w:pPr>
        <w:pStyle w:val="ListParagraph"/>
        <w:numPr>
          <w:ilvl w:val="0"/>
          <w:numId w:val="5"/>
        </w:numPr>
        <w:spacing w:after="60" w:line="264"/>
      </w:pPr>
      <w:r>
        <w:t xml:space="preserve">Réécrire dans le style de votre base : la clause doit vous ressembler.</w:t>
      </w:r>
    </w:p>
    <w:p>
      <w:pPr>
        <w:spacing w:after="80" w:before="60"/>
      </w:pPr>
      <w:r>
        <w:rPr>
          <w:b/>
          <w:bCs/>
          <w:color w:val="10213A"/>
        </w:rPr>
        <w:t xml:space="preserve">Variante. </w:t>
      </w:r>
      <w:r>
        <w:t xml:space="preserve">« Propose la version de repli entre A et B que je pourrais accepter au troisième tour de négociation. »</w:t>
      </w:r>
    </w:p>
    <w:p>
      <w:pPr>
        <w:pStyle w:val="Heading3"/>
        <w:pageBreakBefore/>
      </w:pPr>
      <w:r>
        <w:t xml:space="preserve">Fiche 16  ·  Préparer une négociation</w:t>
      </w:r>
    </w:p>
    <w:p>
      <w:pPr>
        <w:spacing w:after="80"/>
      </w:pPr>
      <w:r>
        <w:rPr>
          <w:color w:val="5B6B7B"/>
          <w:sz w:val="17"/>
          <w:szCs w:val="17"/>
        </w:rPr>
        <w:t xml:space="preserve">Niveau 2  ·  Rédaction  ·  Capacité : Brainstormer  ·  Outils : tous, outil validé  ·  Temps gagné typique : 1 heure par séance préparée</w:t>
      </w:r>
    </w:p>
    <w:p>
      <w:pPr>
        <w:spacing w:after="100" w:line="264"/>
      </w:pPr>
      <w:r>
        <w:rPr>
          <w:b/>
          <w:bCs/>
          <w:color w:val="10213A"/>
        </w:rPr>
        <w:t xml:space="preserve">La situation. </w:t>
      </w:r>
      <w:r>
        <w:t xml:space="preserve">Réunion de négociation dans deux jours sur trois clauses bloquées. Vous voulez anticiper les arguments de l’autre partie et préparer vos replis.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Génère arguments et contre-arguments</w:t>
            </w:r>
          </w:p>
          <w:p>
            <w:pPr>
              <w:pStyle w:val="ListParagraph"/>
              <w:numPr>
                <w:ilvl w:val="0"/>
                <w:numId w:val="2"/>
              </w:numPr>
              <w:spacing w:after="40" w:line="252"/>
            </w:pPr>
            <w:r>
              <w:rPr>
                <w:sz w:val="19"/>
                <w:szCs w:val="19"/>
              </w:rPr>
              <w:t xml:space="preserve">Propose des positions de repli et des échanges de concessions</w:t>
            </w:r>
          </w:p>
          <w:p>
            <w:pPr>
              <w:pStyle w:val="ListParagraph"/>
              <w:numPr>
                <w:ilvl w:val="0"/>
                <w:numId w:val="2"/>
              </w:numPr>
              <w:spacing w:after="40" w:line="252"/>
            </w:pPr>
            <w:r>
              <w:rPr>
                <w:sz w:val="19"/>
                <w:szCs w:val="19"/>
              </w:rPr>
              <w:t xml:space="preserve">Rédige le message qui ouvre la séance</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ni le rapport de forces ni les enjeux commerciaux réels</w:t>
            </w:r>
          </w:p>
          <w:p>
            <w:pPr>
              <w:pStyle w:val="ListParagraph"/>
              <w:numPr>
                <w:ilvl w:val="0"/>
                <w:numId w:val="2"/>
              </w:numPr>
              <w:spacing w:after="40" w:line="252"/>
            </w:pPr>
            <w:r>
              <w:rPr>
                <w:sz w:val="19"/>
                <w:szCs w:val="19"/>
              </w:rPr>
              <w:t xml:space="preserve">Peut proposer des concessions hors de votre mandat</w:t>
            </w:r>
          </w:p>
          <w:p>
            <w:pPr>
              <w:pStyle w:val="ListParagraph"/>
              <w:numPr>
                <w:ilvl w:val="0"/>
                <w:numId w:val="2"/>
              </w:numPr>
              <w:spacing w:after="40" w:line="252"/>
            </w:pPr>
            <w:r>
              <w:rPr>
                <w:sz w:val="19"/>
                <w:szCs w:val="19"/>
              </w:rPr>
              <w:t xml:space="preserve">Ne sait pas ce que vous ne voulez pas révéler</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La description des points bloqués sans données confidentielles inutiles : montants arrondis, contrepartie anonymisée, dans l’outil validé.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un négociateur de contrats expérimenté qui conseille un juriste d’entreprise.</w:t>
            </w:r>
          </w:p>
          <w:p>
            <w:pPr>
              <w:spacing w:after="70" w:line="252"/>
            </w:pPr>
            <w:r>
              <w:rPr>
                <w:b/>
                <w:bCs/>
                <w:color w:val="1D659C"/>
                <w:sz w:val="19"/>
                <w:szCs w:val="19"/>
              </w:rPr>
              <w:t xml:space="preserve">Contexte : </w:t>
            </w:r>
            <w:r>
              <w:rPr>
                <w:sz w:val="19"/>
                <w:szCs w:val="19"/>
              </w:rPr>
              <w:t xml:space="preserve">Nous sommes </w:t>
            </w:r>
            <w:r>
              <w:rPr>
                <w:sz w:val="19"/>
                <w:szCs w:val="19"/>
                <w:highlight w:val="yellow"/>
              </w:rPr>
              <w:t xml:space="preserve">[rôle]</w:t>
            </w:r>
            <w:r>
              <w:rPr>
                <w:sz w:val="19"/>
                <w:szCs w:val="19"/>
              </w:rPr>
              <w:t xml:space="preserve"> face à </w:t>
            </w:r>
            <w:r>
              <w:rPr>
                <w:sz w:val="19"/>
                <w:szCs w:val="19"/>
                <w:highlight w:val="yellow"/>
              </w:rPr>
              <w:t xml:space="preserve">[contrepartie, rôle et poids relatif]</w:t>
            </w:r>
            <w:r>
              <w:rPr>
                <w:sz w:val="19"/>
                <w:szCs w:val="19"/>
              </w:rPr>
              <w:t xml:space="preserve">. Points bloqués : </w:t>
            </w:r>
            <w:r>
              <w:rPr>
                <w:sz w:val="19"/>
                <w:szCs w:val="19"/>
                <w:highlight w:val="yellow"/>
              </w:rPr>
              <w:t xml:space="preserve">[clause 1, positions des deux parties]</w:t>
            </w:r>
            <w:r>
              <w:rPr>
                <w:sz w:val="19"/>
                <w:szCs w:val="19"/>
              </w:rPr>
              <w:t xml:space="preserve"> ; </w:t>
            </w:r>
            <w:r>
              <w:rPr>
                <w:sz w:val="19"/>
                <w:szCs w:val="19"/>
                <w:highlight w:val="yellow"/>
              </w:rPr>
              <w:t xml:space="preserve">[clause 2]</w:t>
            </w:r>
            <w:r>
              <w:rPr>
                <w:sz w:val="19"/>
                <w:szCs w:val="19"/>
              </w:rPr>
              <w:t xml:space="preserve"> ; </w:t>
            </w:r>
            <w:r>
              <w:rPr>
                <w:sz w:val="19"/>
                <w:szCs w:val="19"/>
                <w:highlight w:val="yellow"/>
              </w:rPr>
              <w:t xml:space="preserve">[clause 3]</w:t>
            </w:r>
            <w:r>
              <w:rPr>
                <w:sz w:val="19"/>
                <w:szCs w:val="19"/>
              </w:rPr>
              <w:t xml:space="preserve">. Ce qui compte le plus pour nous : </w:t>
            </w:r>
            <w:r>
              <w:rPr>
                <w:sz w:val="19"/>
                <w:szCs w:val="19"/>
                <w:highlight w:val="yellow"/>
              </w:rPr>
              <w:t xml:space="preserve">[priorité]</w:t>
            </w:r>
            <w:r>
              <w:rPr>
                <w:sz w:val="19"/>
                <w:szCs w:val="19"/>
              </w:rPr>
              <w:t xml:space="preserve">. Ce que nous pouvons lâcher : </w:t>
            </w:r>
            <w:r>
              <w:rPr>
                <w:sz w:val="19"/>
                <w:szCs w:val="19"/>
                <w:highlight w:val="yellow"/>
              </w:rPr>
              <w:t xml:space="preserve">[concessions possibles]</w:t>
            </w:r>
            <w:r>
              <w:rPr>
                <w:sz w:val="19"/>
                <w:szCs w:val="19"/>
              </w:rPr>
              <w:t xml:space="preserve">.</w:t>
            </w:r>
          </w:p>
          <w:p>
            <w:pPr>
              <w:spacing w:after="70" w:line="252"/>
            </w:pPr>
            <w:r>
              <w:rPr>
                <w:b/>
                <w:bCs/>
                <w:color w:val="1D659C"/>
                <w:sz w:val="19"/>
                <w:szCs w:val="19"/>
              </w:rPr>
              <w:t xml:space="preserve">Tâche : </w:t>
            </w:r>
            <w:r>
              <w:rPr>
                <w:sz w:val="19"/>
                <w:szCs w:val="19"/>
              </w:rPr>
              <w:t xml:space="preserve">Pour chaque point : (1) les arguments probables de la contrepartie ; (2) nos réponses ; (3) deux positions de repli ; (4) un échange de concessions possible entre les points. Puis propose un ordre de traitement des trois points et rédige l’email de proposition qui ouvre la séance.</w:t>
            </w:r>
          </w:p>
          <w:p>
            <w:pPr>
              <w:spacing w:after="70" w:line="252"/>
            </w:pPr>
            <w:r>
              <w:rPr>
                <w:b/>
                <w:bCs/>
                <w:color w:val="1D659C"/>
                <w:sz w:val="19"/>
                <w:szCs w:val="19"/>
              </w:rPr>
              <w:t xml:space="preserve">Format : </w:t>
            </w:r>
            <w:r>
              <w:rPr>
                <w:sz w:val="19"/>
                <w:szCs w:val="19"/>
              </w:rPr>
              <w:t xml:space="preserve">un bloc par point, puis l’email en 150 mots maximum, factuel et courtois.</w:t>
            </w:r>
          </w:p>
          <w:p>
            <w:pPr>
              <w:spacing w:after="70" w:line="252"/>
            </w:pPr>
            <w:r>
              <w:rPr>
                <w:b/>
                <w:bCs/>
                <w:color w:val="1D659C"/>
                <w:sz w:val="19"/>
                <w:szCs w:val="19"/>
              </w:rPr>
              <w:t xml:space="preserve">Vérification : </w:t>
            </w:r>
            <w:r>
              <w:rPr>
                <w:sz w:val="19"/>
                <w:szCs w:val="19"/>
              </w:rPr>
              <w:t xml:space="preserve">ne propose aucune concession qui ne figure pas dans la liste que je t’ai donnée.</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Confronter les replis à votre mandat réel.</w:t>
      </w:r>
    </w:p>
    <w:p>
      <w:pPr>
        <w:pStyle w:val="ListParagraph"/>
        <w:numPr>
          <w:ilvl w:val="0"/>
          <w:numId w:val="5"/>
        </w:numPr>
        <w:spacing w:after="60" w:line="264"/>
      </w:pPr>
      <w:r>
        <w:t xml:space="preserve">Retirer les arguments qui révèlent une information que vous ne voulez pas donner.</w:t>
      </w:r>
    </w:p>
    <w:p>
      <w:pPr>
        <w:pStyle w:val="ListParagraph"/>
        <w:numPr>
          <w:ilvl w:val="0"/>
          <w:numId w:val="5"/>
        </w:numPr>
        <w:spacing w:after="60" w:line="264"/>
      </w:pPr>
      <w:r>
        <w:t xml:space="preserve">L’email part sous votre nom : relisez-le comme si vous ne l’aviez pas écrit.</w:t>
      </w:r>
    </w:p>
    <w:p>
      <w:pPr>
        <w:spacing w:after="80" w:before="60"/>
      </w:pPr>
      <w:r>
        <w:rPr>
          <w:b/>
          <w:bCs/>
          <w:color w:val="10213A"/>
        </w:rPr>
        <w:t xml:space="preserve">Variante. </w:t>
      </w:r>
      <w:r>
        <w:t xml:space="preserve">« Joue la contrepartie : réponds à mon email de proposition comme le ferait leur juriste, puis dis-moi ce que ma meilleure réponse serait. »</w:t>
      </w:r>
    </w:p>
    <w:p>
      <w:pPr>
        <w:pStyle w:val="Heading3"/>
        <w:pageBreakBefore/>
      </w:pPr>
      <w:r>
        <w:t xml:space="preserve">Fiche 17  ·  Bâtir la checklist de conformité d’un nouveau projet</w:t>
      </w:r>
    </w:p>
    <w:p>
      <w:pPr>
        <w:spacing w:after="80"/>
      </w:pPr>
      <w:r>
        <w:rPr>
          <w:color w:val="5B6B7B"/>
          <w:sz w:val="17"/>
          <w:szCs w:val="17"/>
        </w:rPr>
        <w:t xml:space="preserve">Niveau 2  ·  Risques et conformité  ·  Capacité : Analyser  ·  Outils : tous, outil validé  ·  Temps gagné typique : 1 heure par projet</w:t>
      </w:r>
    </w:p>
    <w:p>
      <w:pPr>
        <w:spacing w:after="100" w:line="264"/>
      </w:pPr>
      <w:r>
        <w:rPr>
          <w:b/>
          <w:bCs/>
          <w:color w:val="10213A"/>
        </w:rPr>
        <w:t xml:space="preserve">La situation. </w:t>
      </w:r>
      <w:r>
        <w:t xml:space="preserve">Le marketing lance un service avec un nouvel outil qui traite des données clients, peut-être avec de l’IA. On vous demande « si c’est bon » pour la semaine prochaine.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Liste les questions à se poser, corpus par corpus</w:t>
            </w:r>
          </w:p>
          <w:p>
            <w:pPr>
              <w:pStyle w:val="ListParagraph"/>
              <w:numPr>
                <w:ilvl w:val="0"/>
                <w:numId w:val="2"/>
              </w:numPr>
              <w:spacing w:after="40" w:line="252"/>
            </w:pPr>
            <w:r>
              <w:rPr>
                <w:sz w:val="19"/>
                <w:szCs w:val="19"/>
              </w:rPr>
              <w:t xml:space="preserve">Structure une checklist avec exigence, preuve et responsable</w:t>
            </w:r>
          </w:p>
          <w:p>
            <w:pPr>
              <w:pStyle w:val="ListParagraph"/>
              <w:numPr>
                <w:ilvl w:val="0"/>
                <w:numId w:val="2"/>
              </w:numPr>
              <w:spacing w:after="40" w:line="252"/>
            </w:pPr>
            <w:r>
              <w:rPr>
                <w:sz w:val="19"/>
                <w:szCs w:val="19"/>
              </w:rPr>
              <w:t xml:space="preserve">Formule les questions à poser au métier</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sait pas ce que fait vraiment le projet (le métier non plus, parfois)</w:t>
            </w:r>
          </w:p>
          <w:p>
            <w:pPr>
              <w:pStyle w:val="ListParagraph"/>
              <w:numPr>
                <w:ilvl w:val="0"/>
                <w:numId w:val="2"/>
              </w:numPr>
              <w:spacing w:after="40" w:line="252"/>
            </w:pPr>
            <w:r>
              <w:rPr>
                <w:sz w:val="19"/>
                <w:szCs w:val="19"/>
              </w:rPr>
              <w:t xml:space="preserve">N’applique pas la réglementation sectorielle si vous ne la nommez pas</w:t>
            </w:r>
          </w:p>
          <w:p>
            <w:pPr>
              <w:pStyle w:val="ListParagraph"/>
              <w:numPr>
                <w:ilvl w:val="0"/>
                <w:numId w:val="2"/>
              </w:numPr>
              <w:spacing w:after="40" w:line="252"/>
            </w:pPr>
            <w:r>
              <w:rPr>
                <w:sz w:val="19"/>
                <w:szCs w:val="19"/>
              </w:rPr>
              <w:t xml:space="preserve">Ne rend pas d’avis de conformité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La description du projet sans données personnelles réelles, dans l’outil validé si le projet est confidentiel.</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conformité de </w:t>
            </w:r>
            <w:r>
              <w:rPr>
                <w:sz w:val="19"/>
                <w:szCs w:val="19"/>
                <w:highlight w:val="yellow"/>
              </w:rPr>
              <w:t xml:space="preserve">[organisation, secteur]</w:t>
            </w:r>
            <w:r>
              <w:rPr>
                <w:sz w:val="19"/>
                <w:szCs w:val="19"/>
              </w:rPr>
              <w:t xml:space="preserve">.</w:t>
            </w:r>
          </w:p>
          <w:p>
            <w:pPr>
              <w:spacing w:after="70" w:line="252"/>
            </w:pPr>
            <w:r>
              <w:rPr>
                <w:b/>
                <w:bCs/>
                <w:color w:val="1D659C"/>
                <w:sz w:val="19"/>
                <w:szCs w:val="19"/>
              </w:rPr>
              <w:t xml:space="preserve">Contexte : </w:t>
            </w:r>
            <w:r>
              <w:rPr>
                <w:sz w:val="19"/>
                <w:szCs w:val="19"/>
              </w:rPr>
              <w:t xml:space="preserve">Le métier </w:t>
            </w:r>
            <w:r>
              <w:rPr>
                <w:sz w:val="19"/>
                <w:szCs w:val="19"/>
                <w:highlight w:val="yellow"/>
              </w:rPr>
              <w:t xml:space="preserve">[fonction]</w:t>
            </w:r>
            <w:r>
              <w:rPr>
                <w:sz w:val="19"/>
                <w:szCs w:val="19"/>
              </w:rPr>
              <w:t xml:space="preserve"> veut lancer </w:t>
            </w:r>
            <w:r>
              <w:rPr>
                <w:sz w:val="19"/>
                <w:szCs w:val="19"/>
                <w:highlight w:val="yellow"/>
              </w:rPr>
              <w:t xml:space="preserve">[projet décrit en cinq lignes : quoi, pour qui, quelles données, quels outils, quels pays]</w:t>
            </w:r>
            <w:r>
              <w:rPr>
                <w:sz w:val="19"/>
                <w:szCs w:val="19"/>
              </w:rPr>
              <w:t xml:space="preserve">. Corpus à couvrir : RGPD, règlement européen sur l’IA, </w:t>
            </w:r>
            <w:r>
              <w:rPr>
                <w:sz w:val="19"/>
                <w:szCs w:val="19"/>
                <w:highlight w:val="yellow"/>
              </w:rPr>
              <w:t xml:space="preserve">[règles sectorielles, par exemple secret bancaire, code de la consommation]</w:t>
            </w:r>
            <w:r>
              <w:rPr>
                <w:sz w:val="19"/>
                <w:szCs w:val="19"/>
              </w:rPr>
              <w:t xml:space="preserve">, nos politiques internes </w:t>
            </w:r>
            <w:r>
              <w:rPr>
                <w:sz w:val="19"/>
                <w:szCs w:val="19"/>
                <w:highlight w:val="yellow"/>
              </w:rPr>
              <w:t xml:space="preserve">[lesquelles]</w:t>
            </w:r>
            <w:r>
              <w:rPr>
                <w:sz w:val="19"/>
                <w:szCs w:val="19"/>
              </w:rPr>
              <w:t xml:space="preserve">.</w:t>
            </w:r>
          </w:p>
          <w:p>
            <w:pPr>
              <w:spacing w:after="70" w:line="252"/>
            </w:pPr>
            <w:r>
              <w:rPr>
                <w:b/>
                <w:bCs/>
                <w:color w:val="1D659C"/>
                <w:sz w:val="19"/>
                <w:szCs w:val="19"/>
              </w:rPr>
              <w:t xml:space="preserve">Tâche : </w:t>
            </w:r>
            <w:r>
              <w:rPr>
                <w:sz w:val="19"/>
                <w:szCs w:val="19"/>
              </w:rPr>
              <w:t xml:space="preserve">(1) Liste les questions auxquelles le métier doit répondre pour que je puisse me prononcer, classées par corpus, avec pour chacune « pourquoi cette question compte ». (2) Propose une checklist des points de conformité à vérifier : exigence, preuve attendue, responsable probable. (3) Signale les points qui pourraient nécessiter une analyse d’impact ou une consultation (délégué à la protection des données, instances représentatives, autorité).</w:t>
            </w:r>
          </w:p>
          <w:p>
            <w:pPr>
              <w:spacing w:after="70" w:line="252"/>
            </w:pPr>
            <w:r>
              <w:rPr>
                <w:b/>
                <w:bCs/>
                <w:color w:val="1D659C"/>
                <w:sz w:val="19"/>
                <w:szCs w:val="19"/>
              </w:rPr>
              <w:t xml:space="preserve">Format : </w:t>
            </w:r>
            <w:r>
              <w:rPr>
                <w:sz w:val="19"/>
                <w:szCs w:val="19"/>
              </w:rPr>
              <w:t xml:space="preserve">deux tableaux, puis une liste « points potentiellement bloquants » en cinq lignes maximum.</w:t>
            </w:r>
          </w:p>
          <w:p>
            <w:pPr>
              <w:spacing w:after="70" w:line="252"/>
            </w:pPr>
            <w:r>
              <w:rPr>
                <w:b/>
                <w:bCs/>
                <w:color w:val="1D659C"/>
                <w:sz w:val="19"/>
                <w:szCs w:val="19"/>
              </w:rPr>
              <w:t xml:space="preserve">Vérification : </w:t>
            </w:r>
            <w:r>
              <w:rPr>
                <w:sz w:val="19"/>
                <w:szCs w:val="19"/>
              </w:rPr>
              <w:t xml:space="preserve">ne conclus pas sur la conformité ; ne cite aucun article, nomme seulement le corpus concerné.</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Vérifier les exigences dans les textes eux-mêmes et dans vos politiques.</w:t>
      </w:r>
    </w:p>
    <w:p>
      <w:pPr>
        <w:pStyle w:val="ListParagraph"/>
        <w:numPr>
          <w:ilvl w:val="0"/>
          <w:numId w:val="5"/>
        </w:numPr>
        <w:spacing w:after="60" w:line="264"/>
      </w:pPr>
      <w:r>
        <w:t xml:space="preserve">Compléter avec les règles sectorielles que l’IA ignore.</w:t>
      </w:r>
    </w:p>
    <w:p>
      <w:pPr>
        <w:pStyle w:val="ListParagraph"/>
        <w:numPr>
          <w:ilvl w:val="0"/>
          <w:numId w:val="5"/>
        </w:numPr>
        <w:spacing w:after="60" w:line="264"/>
      </w:pPr>
      <w:r>
        <w:t xml:space="preserve">Transformer la checklist en questionnaire pour le métier, puis rendre votre avis. Fiche associée sur app.nextstart.ai : « Conduire une analyse d’impact sur la protection des données ».</w:t>
      </w:r>
    </w:p>
    <w:p>
      <w:pPr>
        <w:spacing w:after="80" w:before="60"/>
      </w:pPr>
      <w:r>
        <w:rPr>
          <w:b/>
          <w:bCs/>
          <w:color w:val="10213A"/>
        </w:rPr>
        <w:t xml:space="preserve">Variante. </w:t>
      </w:r>
      <w:r>
        <w:t xml:space="preserve">« Réponses du métier : </w:t>
      </w:r>
      <w:r>
        <w:rPr>
          <w:highlight w:val="yellow"/>
        </w:rPr>
        <w:t xml:space="preserve">[coller]</w:t>
      </w:r>
      <w:r>
        <w:t xml:space="preserve">. Mets à jour la checklist avec un statut par ligne : conforme, à traiter, bloquant. »</w:t>
      </w:r>
    </w:p>
    <w:p>
      <w:pPr>
        <w:pStyle w:val="Heading3"/>
        <w:pageBreakBefore/>
      </w:pPr>
      <w:r>
        <w:t xml:space="preserve">Fiche 18  ·  Contrôler une communication marketing</w:t>
      </w:r>
    </w:p>
    <w:p>
      <w:pPr>
        <w:spacing w:after="80"/>
      </w:pPr>
      <w:r>
        <w:rPr>
          <w:color w:val="5B6B7B"/>
          <w:sz w:val="17"/>
          <w:szCs w:val="17"/>
        </w:rPr>
        <w:t xml:space="preserve">Niveau 2  ·  Risques et conformité  ·  Capacité : Analyser  ·  Outils : tous  ·  Temps gagné typique : 30 minutes par campagne</w:t>
      </w:r>
    </w:p>
    <w:p>
      <w:pPr>
        <w:spacing w:after="100" w:line="264"/>
      </w:pPr>
      <w:r>
        <w:rPr>
          <w:b/>
          <w:bCs/>
          <w:color w:val="10213A"/>
        </w:rPr>
        <w:t xml:space="preserve">La situation. </w:t>
      </w:r>
      <w:r>
        <w:t xml:space="preserve">Une campagne email, une page d’atterrissage ou une publicité doit partir ce soir. Le marketing veut un « OK juridique » rapide.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Repère mentions manquantes, allégations à justifier, formulations trompeuses</w:t>
            </w:r>
          </w:p>
          <w:p>
            <w:pPr>
              <w:pStyle w:val="ListParagraph"/>
              <w:numPr>
                <w:ilvl w:val="0"/>
                <w:numId w:val="2"/>
              </w:numPr>
              <w:spacing w:after="40" w:line="252"/>
            </w:pPr>
            <w:r>
              <w:rPr>
                <w:sz w:val="19"/>
                <w:szCs w:val="19"/>
              </w:rPr>
              <w:t xml:space="preserve">Pointe les pratiques à risque : consentement, désinscription, prix barrés, comparaisons</w:t>
            </w:r>
          </w:p>
          <w:p>
            <w:pPr>
              <w:pStyle w:val="ListParagraph"/>
              <w:numPr>
                <w:ilvl w:val="0"/>
                <w:numId w:val="2"/>
              </w:numPr>
              <w:spacing w:after="40" w:line="252"/>
            </w:pPr>
            <w:r>
              <w:rPr>
                <w:sz w:val="19"/>
                <w:szCs w:val="19"/>
              </w:rPr>
              <w:t xml:space="preserve">Propose un texte corrigé</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votre secteur régulé sans que vous le disiez</w:t>
            </w:r>
          </w:p>
          <w:p>
            <w:pPr>
              <w:pStyle w:val="ListParagraph"/>
              <w:numPr>
                <w:ilvl w:val="0"/>
                <w:numId w:val="2"/>
              </w:numPr>
              <w:spacing w:after="40" w:line="252"/>
            </w:pPr>
            <w:r>
              <w:rPr>
                <w:sz w:val="19"/>
                <w:szCs w:val="19"/>
              </w:rPr>
              <w:t xml:space="preserve">Ne connaît pas vos engagements contractuels avec les éditeurs ou les partenaires</w:t>
            </w:r>
          </w:p>
          <w:p>
            <w:pPr>
              <w:pStyle w:val="ListParagraph"/>
              <w:numPr>
                <w:ilvl w:val="0"/>
                <w:numId w:val="2"/>
              </w:numPr>
              <w:spacing w:after="40" w:line="252"/>
            </w:pPr>
            <w:r>
              <w:rPr>
                <w:sz w:val="19"/>
                <w:szCs w:val="19"/>
              </w:rPr>
              <w:t xml:space="preserve">Ne remplace pas votre validation</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 texte de la campagne, qui n’est pas sensible. Jamais la base de destinataires.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spécialisé en droit de la consommation et en protection des données, en droit </w:t>
            </w:r>
            <w:r>
              <w:rPr>
                <w:sz w:val="19"/>
                <w:szCs w:val="19"/>
                <w:highlight w:val="yellow"/>
              </w:rPr>
              <w:t xml:space="preserve">[français]</w:t>
            </w:r>
            <w:r>
              <w:rPr>
                <w:sz w:val="19"/>
                <w:szCs w:val="19"/>
              </w:rPr>
              <w:t xml:space="preserve">.</w:t>
            </w:r>
          </w:p>
          <w:p>
            <w:pPr>
              <w:spacing w:after="70" w:line="252"/>
            </w:pPr>
            <w:r>
              <w:rPr>
                <w:b/>
                <w:bCs/>
                <w:color w:val="1D659C"/>
                <w:sz w:val="19"/>
                <w:szCs w:val="19"/>
              </w:rPr>
              <w:t xml:space="preserve">Contexte : </w:t>
            </w:r>
            <w:r>
              <w:rPr>
                <w:sz w:val="19"/>
                <w:szCs w:val="19"/>
              </w:rPr>
              <w:t xml:space="preserve">Le service marketing de </w:t>
            </w:r>
            <w:r>
              <w:rPr>
                <w:sz w:val="19"/>
                <w:szCs w:val="19"/>
                <w:highlight w:val="yellow"/>
              </w:rPr>
              <w:t xml:space="preserve">[organisation, secteur]</w:t>
            </w:r>
            <w:r>
              <w:rPr>
                <w:sz w:val="19"/>
                <w:szCs w:val="19"/>
              </w:rPr>
              <w:t xml:space="preserve"> veut diffuser </w:t>
            </w:r>
            <w:r>
              <w:rPr>
                <w:sz w:val="19"/>
                <w:szCs w:val="19"/>
                <w:highlight w:val="yellow"/>
              </w:rPr>
              <w:t xml:space="preserve">[type de communication]</w:t>
            </w:r>
            <w:r>
              <w:rPr>
                <w:sz w:val="19"/>
                <w:szCs w:val="19"/>
              </w:rPr>
              <w:t xml:space="preserve"> à </w:t>
            </w:r>
            <w:r>
              <w:rPr>
                <w:sz w:val="19"/>
                <w:szCs w:val="19"/>
                <w:highlight w:val="yellow"/>
              </w:rPr>
              <w:t xml:space="preserve">[cible : clients, prospects, grand public]</w:t>
            </w:r>
            <w:r>
              <w:rPr>
                <w:sz w:val="19"/>
                <w:szCs w:val="19"/>
              </w:rPr>
              <w:t xml:space="preserve"> via </w:t>
            </w:r>
            <w:r>
              <w:rPr>
                <w:sz w:val="19"/>
                <w:szCs w:val="19"/>
                <w:highlight w:val="yellow"/>
              </w:rPr>
              <w:t xml:space="preserve">[canal]</w:t>
            </w:r>
            <w:r>
              <w:rPr>
                <w:sz w:val="19"/>
                <w:szCs w:val="19"/>
              </w:rPr>
              <w:t xml:space="preserve">. Texte ci-dessous.</w:t>
            </w:r>
          </w:p>
          <w:p>
            <w:pPr>
              <w:spacing w:after="70" w:line="252"/>
            </w:pPr>
            <w:r>
              <w:rPr>
                <w:b/>
                <w:bCs/>
                <w:color w:val="1D659C"/>
                <w:sz w:val="19"/>
                <w:szCs w:val="19"/>
              </w:rPr>
              <w:t xml:space="preserve">Tâche : </w:t>
            </w:r>
            <w:r>
              <w:rPr>
                <w:sz w:val="19"/>
                <w:szCs w:val="19"/>
              </w:rPr>
              <w:t xml:space="preserve">Passe le texte au crible : (1) mentions obligatoires manquantes pour ce canal et ce public ; (2) allégations qui devront être justifiées, et par quelle preuve ; (3) formulations potentiellement trompeuses ou ambiguës ; (4) points liés aux données personnelles (fondement du contact, désinscription, information) ; (5) tout ce qui mérite une vérification sectorielle.</w:t>
            </w:r>
          </w:p>
          <w:p>
            <w:pPr>
              <w:spacing w:after="70" w:line="252"/>
            </w:pPr>
            <w:r>
              <w:rPr>
                <w:b/>
                <w:bCs/>
                <w:color w:val="1D659C"/>
                <w:sz w:val="19"/>
                <w:szCs w:val="19"/>
              </w:rPr>
              <w:t xml:space="preserve">Format : </w:t>
            </w:r>
            <w:r>
              <w:rPr>
                <w:sz w:val="19"/>
                <w:szCs w:val="19"/>
              </w:rPr>
              <w:t xml:space="preserve">tableau « extrait | problème | risque | correction proposée », classé par gravité, puis le texte corrigé.</w:t>
            </w:r>
          </w:p>
          <w:p>
            <w:pPr>
              <w:spacing w:after="70" w:line="252"/>
            </w:pPr>
            <w:r>
              <w:rPr>
                <w:b/>
                <w:bCs/>
                <w:color w:val="1D659C"/>
                <w:sz w:val="19"/>
                <w:szCs w:val="19"/>
              </w:rPr>
              <w:t xml:space="preserve">Vérification : </w:t>
            </w:r>
            <w:r>
              <w:rPr>
                <w:sz w:val="19"/>
                <w:szCs w:val="19"/>
              </w:rPr>
              <w:t xml:space="preserve">nomme les corpus concernés sans citer d’articles ; signale ce que tu ne peux pas vérifier sans information supplémentaire.</w:t>
            </w:r>
          </w:p>
          <w:p>
            <w:pPr>
              <w:spacing w:after="70" w:line="252"/>
            </w:pPr>
            <w:r>
              <w:rPr>
                <w:b/>
                <w:bCs/>
                <w:color w:val="1D659C"/>
                <w:sz w:val="19"/>
                <w:szCs w:val="19"/>
              </w:rPr>
              <w:t xml:space="preserve">Texte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Contrôler les mentions dans les textes et vos chartes.</w:t>
      </w:r>
    </w:p>
    <w:p>
      <w:pPr>
        <w:pStyle w:val="ListParagraph"/>
        <w:numPr>
          <w:ilvl w:val="0"/>
          <w:numId w:val="5"/>
        </w:numPr>
        <w:spacing w:after="60" w:line="264"/>
      </w:pPr>
      <w:r>
        <w:t xml:space="preserve">Vérifier le fondement de la base de contact avec le délégué à la protection des données ou l’équipe CRM : l’IA ne la voit pas.</w:t>
      </w:r>
    </w:p>
    <w:p>
      <w:pPr>
        <w:pStyle w:val="ListParagraph"/>
        <w:numPr>
          <w:ilvl w:val="0"/>
          <w:numId w:val="5"/>
        </w:numPr>
        <w:spacing w:after="60" w:line="264"/>
      </w:pPr>
      <w:r>
        <w:t xml:space="preserve">Rendre vous-même l’avis, avec la réserve d’usage. Fiche associée sur app.nextstart.ai : « Contrôler une communication au regard du RGPD ».</w:t>
      </w:r>
    </w:p>
    <w:p>
      <w:pPr>
        <w:spacing w:after="80" w:before="60"/>
      </w:pPr>
      <w:r>
        <w:rPr>
          <w:b/>
          <w:bCs/>
          <w:color w:val="10213A"/>
        </w:rPr>
        <w:t xml:space="preserve">Variante. </w:t>
      </w:r>
      <w:r>
        <w:t xml:space="preserve">« Écris les trois règles simples que je donnerai au marketing pour qu’il pré-vérifie lui-même ses prochaines campagnes. »</w:t>
      </w:r>
    </w:p>
    <w:p>
      <w:pPr>
        <w:pStyle w:val="Heading3"/>
        <w:pageBreakBefore/>
      </w:pPr>
      <w:r>
        <w:t xml:space="preserve">Fiche 19  ·  Revoir les CGU ou la politique de confidentialité d’un fournisseur</w:t>
      </w:r>
    </w:p>
    <w:p>
      <w:pPr>
        <w:spacing w:after="80"/>
      </w:pPr>
      <w:r>
        <w:rPr>
          <w:color w:val="5B6B7B"/>
          <w:sz w:val="17"/>
          <w:szCs w:val="17"/>
        </w:rPr>
        <w:t xml:space="preserve">Niveau 2  ·  Analyse contractuelle  ·  Capacité : Analyser  ·  Outils : tous  ·  Temps gagné typique : 45 minutes par outil</w:t>
      </w:r>
    </w:p>
    <w:p>
      <w:pPr>
        <w:spacing w:after="100" w:line="264"/>
      </w:pPr>
      <w:r>
        <w:rPr>
          <w:b/>
          <w:bCs/>
          <w:color w:val="10213A"/>
        </w:rPr>
        <w:t xml:space="preserve">La situation. </w:t>
      </w:r>
      <w:r>
        <w:t xml:space="preserve">Un métier veut souscrire un outil SaaS « en trois clics ». Les conditions générales et la politique de confidentialité de l’éditeur sont la seule documentation contractuelle.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Extrait les points de friction avec vos exigences</w:t>
            </w:r>
          </w:p>
          <w:p>
            <w:pPr>
              <w:pStyle w:val="ListParagraph"/>
              <w:numPr>
                <w:ilvl w:val="0"/>
                <w:numId w:val="2"/>
              </w:numPr>
              <w:spacing w:after="40" w:line="252"/>
            </w:pPr>
            <w:r>
              <w:rPr>
                <w:sz w:val="19"/>
                <w:szCs w:val="19"/>
              </w:rPr>
              <w:t xml:space="preserve">Repère localisation des données, sous-traitance, modification unilatérale, limitation de responsabilité</w:t>
            </w:r>
          </w:p>
          <w:p>
            <w:pPr>
              <w:pStyle w:val="ListParagraph"/>
              <w:numPr>
                <w:ilvl w:val="0"/>
                <w:numId w:val="2"/>
              </w:numPr>
              <w:spacing w:after="40" w:line="252"/>
            </w:pPr>
            <w:r>
              <w:rPr>
                <w:sz w:val="19"/>
                <w:szCs w:val="19"/>
              </w:rPr>
              <w:t xml:space="preserve">Liste les documents à demander à l’éditeur</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connaît pas vos exigences si vous ne les donnez pas</w:t>
            </w:r>
          </w:p>
          <w:p>
            <w:pPr>
              <w:pStyle w:val="ListParagraph"/>
              <w:numPr>
                <w:ilvl w:val="0"/>
                <w:numId w:val="2"/>
              </w:numPr>
              <w:spacing w:after="40" w:line="252"/>
            </w:pPr>
            <w:r>
              <w:rPr>
                <w:sz w:val="19"/>
                <w:szCs w:val="19"/>
              </w:rPr>
              <w:t xml:space="preserve">Ne voit pas les documents annexes (accord de traitement, engagements de service) non fournis</w:t>
            </w:r>
          </w:p>
          <w:p>
            <w:pPr>
              <w:pStyle w:val="ListParagraph"/>
              <w:numPr>
                <w:ilvl w:val="0"/>
                <w:numId w:val="2"/>
              </w:numPr>
              <w:spacing w:after="40" w:line="252"/>
            </w:pPr>
            <w:r>
              <w:rPr>
                <w:sz w:val="19"/>
                <w:szCs w:val="19"/>
              </w:rPr>
              <w:t xml:space="preserve">Ne connaît pas la version en vigueur</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Les conditions publiques de l’éditeur, sans enjeu. Vos exigences internes, dans l’outil validé.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IT et protection des données pour </w:t>
            </w:r>
            <w:r>
              <w:rPr>
                <w:sz w:val="19"/>
                <w:szCs w:val="19"/>
                <w:highlight w:val="yellow"/>
              </w:rPr>
              <w:t xml:space="preserve">[organisation]</w:t>
            </w:r>
            <w:r>
              <w:rPr>
                <w:sz w:val="19"/>
                <w:szCs w:val="19"/>
              </w:rPr>
              <w:t xml:space="preserve">.</w:t>
            </w:r>
          </w:p>
          <w:p>
            <w:pPr>
              <w:spacing w:after="70" w:line="252"/>
            </w:pPr>
            <w:r>
              <w:rPr>
                <w:b/>
                <w:bCs/>
                <w:color w:val="1D659C"/>
                <w:sz w:val="19"/>
                <w:szCs w:val="19"/>
              </w:rPr>
              <w:t xml:space="preserve">Contexte : </w:t>
            </w:r>
            <w:r>
              <w:rPr>
                <w:sz w:val="19"/>
                <w:szCs w:val="19"/>
              </w:rPr>
              <w:t xml:space="preserve">Le métier </w:t>
            </w:r>
            <w:r>
              <w:rPr>
                <w:sz w:val="19"/>
                <w:szCs w:val="19"/>
                <w:highlight w:val="yellow"/>
              </w:rPr>
              <w:t xml:space="preserve">[fonction]</w:t>
            </w:r>
            <w:r>
              <w:rPr>
                <w:sz w:val="19"/>
                <w:szCs w:val="19"/>
              </w:rPr>
              <w:t xml:space="preserve"> veut utiliser </w:t>
            </w:r>
            <w:r>
              <w:rPr>
                <w:sz w:val="19"/>
                <w:szCs w:val="19"/>
                <w:highlight w:val="yellow"/>
              </w:rPr>
              <w:t xml:space="preserve">[outil]</w:t>
            </w:r>
            <w:r>
              <w:rPr>
                <w:sz w:val="19"/>
                <w:szCs w:val="19"/>
              </w:rPr>
              <w:t xml:space="preserve"> pour </w:t>
            </w:r>
            <w:r>
              <w:rPr>
                <w:sz w:val="19"/>
                <w:szCs w:val="19"/>
                <w:highlight w:val="yellow"/>
              </w:rPr>
              <w:t xml:space="preserve">[usage et données concernées]</w:t>
            </w:r>
            <w:r>
              <w:rPr>
                <w:sz w:val="19"/>
                <w:szCs w:val="19"/>
              </w:rPr>
              <w:t xml:space="preserve">. Nos exigences minimales : </w:t>
            </w:r>
            <w:r>
              <w:rPr>
                <w:sz w:val="19"/>
                <w:szCs w:val="19"/>
                <w:highlight w:val="yellow"/>
              </w:rPr>
              <w:t xml:space="preserve">[par exemple hébergement dans l’Union européenne, aucune réutilisation de nos données pour l’entraînement, sous-traitants listés, préavis de modification de 30 jours, réversibilité]</w:t>
            </w:r>
            <w:r>
              <w:rPr>
                <w:sz w:val="19"/>
                <w:szCs w:val="19"/>
              </w:rPr>
              <w:t xml:space="preserve">. Ci-dessous, les conditions générales et la politique de confidentialité de l’éditeur.</w:t>
            </w:r>
          </w:p>
          <w:p>
            <w:pPr>
              <w:spacing w:after="70" w:line="252"/>
            </w:pPr>
            <w:r>
              <w:rPr>
                <w:b/>
                <w:bCs/>
                <w:color w:val="1D659C"/>
                <w:sz w:val="19"/>
                <w:szCs w:val="19"/>
              </w:rPr>
              <w:t xml:space="preserve">Tâche : </w:t>
            </w:r>
            <w:r>
              <w:rPr>
                <w:sz w:val="19"/>
                <w:szCs w:val="19"/>
              </w:rPr>
              <w:t xml:space="preserve">Pour chaque exigence : satisfaite, partiellement, non satisfaite ou non traitée, avec citation du passage. Puis liste les clauses qui posent problème indépendamment de nos exigences : modification unilatérale, suspension, limitation de responsabilité, juridiction. Termine par les questions à poser à l’éditeur et les documents à demander (accord de traitement des données, liste des sous-traitants, certifications).</w:t>
            </w:r>
          </w:p>
          <w:p>
            <w:pPr>
              <w:spacing w:after="70" w:line="252"/>
            </w:pPr>
            <w:r>
              <w:rPr>
                <w:b/>
                <w:bCs/>
                <w:color w:val="1D659C"/>
                <w:sz w:val="19"/>
                <w:szCs w:val="19"/>
              </w:rPr>
              <w:t xml:space="preserve">Format : </w:t>
            </w:r>
            <w:r>
              <w:rPr>
                <w:sz w:val="19"/>
                <w:szCs w:val="19"/>
              </w:rPr>
              <w:t xml:space="preserve">tableau « exigence | statut | citation | commentaire », puis deux listes.</w:t>
            </w:r>
          </w:p>
          <w:p>
            <w:pPr>
              <w:spacing w:after="70" w:line="252"/>
            </w:pPr>
            <w:r>
              <w:rPr>
                <w:b/>
                <w:bCs/>
                <w:color w:val="1D659C"/>
                <w:sz w:val="19"/>
                <w:szCs w:val="19"/>
              </w:rPr>
              <w:t xml:space="preserve">Vérification : </w:t>
            </w:r>
            <w:r>
              <w:rPr>
                <w:sz w:val="19"/>
                <w:szCs w:val="19"/>
              </w:rPr>
              <w:t xml:space="preserve">indique la date de version des conditions si elle figure dans le texte ; sinon écris « version non datée ».</w:t>
            </w:r>
          </w:p>
          <w:p>
            <w:pPr>
              <w:spacing w:after="70" w:line="252"/>
            </w:pPr>
            <w:r>
              <w:rPr>
                <w:b/>
                <w:bCs/>
                <w:color w:val="1D659C"/>
                <w:sz w:val="19"/>
                <w:szCs w:val="19"/>
              </w:rPr>
              <w:t xml:space="preserve">CGU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Vérifier les citations et la version en ligne du document.</w:t>
      </w:r>
    </w:p>
    <w:p>
      <w:pPr>
        <w:pStyle w:val="ListParagraph"/>
        <w:numPr>
          <w:ilvl w:val="0"/>
          <w:numId w:val="5"/>
        </w:numPr>
        <w:spacing w:after="60" w:line="264"/>
      </w:pPr>
      <w:r>
        <w:t xml:space="preserve">Impliquer la DSI et le délégué à la protection des données sur les points données.</w:t>
      </w:r>
    </w:p>
    <w:p>
      <w:pPr>
        <w:pStyle w:val="ListParagraph"/>
        <w:numPr>
          <w:ilvl w:val="0"/>
          <w:numId w:val="5"/>
        </w:numPr>
        <w:spacing w:after="60" w:line="264"/>
      </w:pPr>
      <w:r>
        <w:t xml:space="preserve">Ce tableau est un support d’instruction : le métier ne signe pas sur cette base.</w:t>
      </w:r>
    </w:p>
    <w:p>
      <w:pPr>
        <w:spacing w:after="80" w:before="60"/>
      </w:pPr>
      <w:r>
        <w:rPr>
          <w:b/>
          <w:bCs/>
          <w:color w:val="10213A"/>
        </w:rPr>
        <w:t xml:space="preserve">Variante. </w:t>
      </w:r>
      <w:r>
        <w:t xml:space="preserve">« Compare les conditions de ces deux éditeurs concurrents sur nos exigences, colonne par colonne. »</w:t>
      </w:r>
    </w:p>
    <w:p>
      <w:pPr>
        <w:pStyle w:val="Heading3"/>
        <w:pageBreakBefore/>
      </w:pPr>
      <w:r>
        <w:t xml:space="preserve">Fiche 20  ·  Rédiger un mémo structuré à partir de sources vérifiées</w:t>
      </w:r>
    </w:p>
    <w:p>
      <w:pPr>
        <w:spacing w:after="80"/>
      </w:pPr>
      <w:r>
        <w:rPr>
          <w:color w:val="5B6B7B"/>
          <w:sz w:val="17"/>
          <w:szCs w:val="17"/>
        </w:rPr>
        <w:t xml:space="preserve">Niveau 2  ·  Rédaction  ·  Capacité : Rédiger  ·  Outils : tous, outil validé  ·  Temps gagné typique : 1 à 2 heures par mémo</w:t>
      </w:r>
    </w:p>
    <w:p>
      <w:pPr>
        <w:spacing w:after="100" w:line="264"/>
      </w:pPr>
      <w:r>
        <w:rPr>
          <w:b/>
          <w:bCs/>
          <w:color w:val="10213A"/>
        </w:rPr>
        <w:t xml:space="preserve">La situation. </w:t>
      </w:r>
      <w:r>
        <w:t xml:space="preserve">Une question de droit précise : peut-on résilier ce contrat pour ce motif ? Cette clause est-elle opposable ? Vous avez réuni et vérifié les textes et les décisions pertinents. Vous voulez un premier jet structuré.</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Organise le raisonnement : faits, question, règle, analyse, conclusion</w:t>
            </w:r>
          </w:p>
          <w:p>
            <w:pPr>
              <w:pStyle w:val="ListParagraph"/>
              <w:numPr>
                <w:ilvl w:val="0"/>
                <w:numId w:val="2"/>
              </w:numPr>
              <w:spacing w:after="40" w:line="252"/>
            </w:pPr>
            <w:r>
              <w:rPr>
                <w:sz w:val="19"/>
                <w:szCs w:val="19"/>
              </w:rPr>
              <w:t xml:space="preserve">Met en forme et repère les trous du raisonnement</w:t>
            </w:r>
          </w:p>
          <w:p>
            <w:pPr>
              <w:pStyle w:val="ListParagraph"/>
              <w:numPr>
                <w:ilvl w:val="0"/>
                <w:numId w:val="2"/>
              </w:numPr>
              <w:spacing w:after="40" w:line="252"/>
            </w:pPr>
            <w:r>
              <w:rPr>
                <w:sz w:val="19"/>
                <w:szCs w:val="19"/>
              </w:rPr>
              <w:t xml:space="preserve">Présente les arguments dans les deux sens</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fournit pas les sources : sur celles que vous ne collez pas, il invente des références (le risque n° 1 relevé par les tribunaux)</w:t>
            </w:r>
          </w:p>
          <w:p>
            <w:pPr>
              <w:pStyle w:val="ListParagraph"/>
              <w:numPr>
                <w:ilvl w:val="0"/>
                <w:numId w:val="2"/>
              </w:numPr>
              <w:spacing w:after="40" w:line="252"/>
            </w:pPr>
            <w:r>
              <w:rPr>
                <w:sz w:val="19"/>
                <w:szCs w:val="19"/>
              </w:rPr>
              <w:t xml:space="preserve">Ne porte pas la conclusion</w:t>
            </w:r>
          </w:p>
          <w:p>
            <w:pPr>
              <w:pStyle w:val="ListParagraph"/>
              <w:numPr>
                <w:ilvl w:val="0"/>
                <w:numId w:val="2"/>
              </w:numPr>
              <w:spacing w:after="40" w:line="252"/>
            </w:pPr>
            <w:r>
              <w:rPr>
                <w:sz w:val="19"/>
                <w:szCs w:val="19"/>
              </w:rPr>
              <w:t xml:space="preserve">Ne sait pas si une décision a été confirmée ou infirmée depuis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Les faits pseudonymisés, les textes et extraits de décisions que vous avez vérifiés, dans l’outil validé.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d’entreprise et tu rédiges un mémo interne pour </w:t>
            </w:r>
            <w:r>
              <w:rPr>
                <w:sz w:val="19"/>
                <w:szCs w:val="19"/>
                <w:highlight w:val="yellow"/>
              </w:rPr>
              <w:t xml:space="preserve">[destinataire, par exemple le directeur juridique ou une direction opérationnelle]</w:t>
            </w:r>
            <w:r>
              <w:rPr>
                <w:sz w:val="19"/>
                <w:szCs w:val="19"/>
              </w:rPr>
              <w:t xml:space="preserve">.</w:t>
            </w:r>
          </w:p>
          <w:p>
            <w:pPr>
              <w:spacing w:after="70" w:line="252"/>
            </w:pPr>
            <w:r>
              <w:rPr>
                <w:b/>
                <w:bCs/>
                <w:color w:val="1D659C"/>
                <w:sz w:val="19"/>
                <w:szCs w:val="19"/>
              </w:rPr>
              <w:t xml:space="preserve">Contexte : </w:t>
            </w:r>
            <w:r>
              <w:rPr>
                <w:sz w:val="19"/>
                <w:szCs w:val="19"/>
              </w:rPr>
              <w:t xml:space="preserve">Faits : </w:t>
            </w:r>
            <w:r>
              <w:rPr>
                <w:sz w:val="19"/>
                <w:szCs w:val="19"/>
                <w:highlight w:val="yellow"/>
              </w:rPr>
              <w:t xml:space="preserve">[résumé pseudonymisé]</w:t>
            </w:r>
            <w:r>
              <w:rPr>
                <w:sz w:val="19"/>
                <w:szCs w:val="19"/>
              </w:rPr>
              <w:t xml:space="preserve">. Question : </w:t>
            </w:r>
            <w:r>
              <w:rPr>
                <w:sz w:val="19"/>
                <w:szCs w:val="19"/>
                <w:highlight w:val="yellow"/>
              </w:rPr>
              <w:t xml:space="preserve">[question précise]</w:t>
            </w:r>
            <w:r>
              <w:rPr>
                <w:sz w:val="19"/>
                <w:szCs w:val="19"/>
              </w:rPr>
              <w:t xml:space="preserve">. Sources que j’ai vérifiées et que tu dois utiliser exclusivement : </w:t>
            </w:r>
            <w:r>
              <w:rPr>
                <w:sz w:val="19"/>
                <w:szCs w:val="19"/>
                <w:highlight w:val="yellow"/>
              </w:rPr>
              <w:t xml:space="preserve">[textes et décisions, avec leurs extraits et leurs références]</w:t>
            </w:r>
            <w:r>
              <w:rPr>
                <w:sz w:val="19"/>
                <w:szCs w:val="19"/>
              </w:rPr>
              <w:t xml:space="preserve">.</w:t>
            </w:r>
          </w:p>
          <w:p>
            <w:pPr>
              <w:spacing w:after="70" w:line="252"/>
            </w:pPr>
            <w:r>
              <w:rPr>
                <w:b/>
                <w:bCs/>
                <w:color w:val="1D659C"/>
                <w:sz w:val="19"/>
                <w:szCs w:val="19"/>
              </w:rPr>
              <w:t xml:space="preserve">Tâche : </w:t>
            </w:r>
            <w:r>
              <w:rPr>
                <w:sz w:val="19"/>
                <w:szCs w:val="19"/>
              </w:rPr>
              <w:t xml:space="preserve">Rédige le mémo : (1) faits pertinents ; (2) question posée ; (3) règles applicables, uniquement à partir des sources fournies, citées avec la référence telle que je l’ai donnée ; (4) analyse : application des règles aux faits, arguments dans les deux sens ; (5) conclusion prudente et options. Si une source manque pour un point, écris « source à rechercher » au lieu de citer de mémoire.</w:t>
            </w:r>
          </w:p>
          <w:p>
            <w:pPr>
              <w:spacing w:after="70" w:line="252"/>
            </w:pPr>
            <w:r>
              <w:rPr>
                <w:b/>
                <w:bCs/>
                <w:color w:val="1D659C"/>
                <w:sz w:val="19"/>
                <w:szCs w:val="19"/>
              </w:rPr>
              <w:t xml:space="preserve">Format : </w:t>
            </w:r>
            <w:r>
              <w:rPr>
                <w:sz w:val="19"/>
                <w:szCs w:val="19"/>
              </w:rPr>
              <w:t xml:space="preserve">titres numérotés, 900 mots maximum, ton neutre.</w:t>
            </w:r>
          </w:p>
          <w:p>
            <w:pPr>
              <w:spacing w:after="70" w:line="252"/>
            </w:pPr>
            <w:r>
              <w:rPr>
                <w:b/>
                <w:bCs/>
                <w:color w:val="1D659C"/>
                <w:sz w:val="19"/>
                <w:szCs w:val="19"/>
              </w:rPr>
              <w:t xml:space="preserve">Vérification : </w:t>
            </w:r>
            <w:r>
              <w:rPr>
                <w:sz w:val="19"/>
                <w:szCs w:val="19"/>
              </w:rPr>
              <w:t xml:space="preserve">liste en fin de mémo toutes les références utilisées ; il ne doit y en avoir aucune que je n’ai pas fournie.</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Contrôler la liste finale des références : toute référence que vous n’avez pas fournie est supprimée, et le passage qui s’y appuie est réécrit.</w:t>
      </w:r>
    </w:p>
    <w:p>
      <w:pPr>
        <w:pStyle w:val="ListParagraph"/>
        <w:numPr>
          <w:ilvl w:val="0"/>
          <w:numId w:val="5"/>
        </w:numPr>
        <w:spacing w:after="60" w:line="264"/>
      </w:pPr>
      <w:r>
        <w:t xml:space="preserve">Vérifier que l’analyse n’affirme rien que les sources ne disent pas.</w:t>
      </w:r>
    </w:p>
    <w:p>
      <w:pPr>
        <w:pStyle w:val="ListParagraph"/>
        <w:numPr>
          <w:ilvl w:val="0"/>
          <w:numId w:val="5"/>
        </w:numPr>
        <w:spacing w:after="60" w:line="264"/>
      </w:pPr>
      <w:r>
        <w:t xml:space="preserve">Écrire vous-même la conclusion.</w:t>
      </w:r>
    </w:p>
    <w:p>
      <w:pPr>
        <w:spacing w:after="80" w:before="60"/>
      </w:pPr>
      <w:r>
        <w:rPr>
          <w:b/>
          <w:bCs/>
          <w:color w:val="10213A"/>
        </w:rPr>
        <w:t xml:space="preserve">Variante. </w:t>
      </w:r>
      <w:r>
        <w:t xml:space="preserve">« Fais l’avocat du diable : quels sont les trois meilleurs arguments contre ma conclusion, à partir des mêmes sources ? »</w:t>
      </w:r>
    </w:p>
    <w:p>
      <w:pPr>
        <w:pStyle w:val="Heading3"/>
        <w:pageBreakBefore/>
      </w:pPr>
      <w:r>
        <w:t xml:space="preserve">Fiche 21  ·  Structurer une veille à partir de textes collés</w:t>
      </w:r>
    </w:p>
    <w:p>
      <w:pPr>
        <w:spacing w:after="80"/>
      </w:pPr>
      <w:r>
        <w:rPr>
          <w:color w:val="5B6B7B"/>
          <w:sz w:val="17"/>
          <w:szCs w:val="17"/>
        </w:rPr>
        <w:t xml:space="preserve">Niveau 2  ·  Recherche juridique  ·  Capacité : Synthétiser  ·  Outils : tous  ·  Temps gagné typique : 1 heure par semaine</w:t>
      </w:r>
    </w:p>
    <w:p>
      <w:pPr>
        <w:spacing w:after="100" w:line="264"/>
      </w:pPr>
      <w:r>
        <w:rPr>
          <w:b/>
          <w:bCs/>
          <w:color w:val="10213A"/>
        </w:rPr>
        <w:t xml:space="preserve">La situation. </w:t>
      </w:r>
      <w:r>
        <w:t xml:space="preserve">Chaque semaine, vous recevez des lettres d’information, des alertes et des textes. Vous voulez une veille exploitable pour l’équipe : ce qui change, pour qui, quand, et quoi faire.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Trie et résume à partir des textes fournis</w:t>
            </w:r>
          </w:p>
          <w:p>
            <w:pPr>
              <w:pStyle w:val="ListParagraph"/>
              <w:numPr>
                <w:ilvl w:val="0"/>
                <w:numId w:val="2"/>
              </w:numPr>
              <w:spacing w:after="40" w:line="252"/>
            </w:pPr>
            <w:r>
              <w:rPr>
                <w:sz w:val="19"/>
                <w:szCs w:val="19"/>
              </w:rPr>
              <w:t xml:space="preserve">Qualifie l’impact selon vos critères</w:t>
            </w:r>
          </w:p>
          <w:p>
            <w:pPr>
              <w:pStyle w:val="ListParagraph"/>
              <w:numPr>
                <w:ilvl w:val="0"/>
                <w:numId w:val="2"/>
              </w:numPr>
              <w:spacing w:after="40" w:line="252"/>
            </w:pPr>
            <w:r>
              <w:rPr>
                <w:sz w:val="19"/>
                <w:szCs w:val="19"/>
              </w:rPr>
              <w:t xml:space="preserve">Produit chaque semaine le même format</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Ne va pas chercher les sources à ce niveau : c’est le rôle de la vigie du niveau 3 (fiche 24)</w:t>
            </w:r>
          </w:p>
          <w:p>
            <w:pPr>
              <w:pStyle w:val="ListParagraph"/>
              <w:numPr>
                <w:ilvl w:val="0"/>
                <w:numId w:val="2"/>
              </w:numPr>
              <w:spacing w:after="40" w:line="252"/>
            </w:pPr>
            <w:r>
              <w:rPr>
                <w:sz w:val="19"/>
                <w:szCs w:val="19"/>
              </w:rPr>
              <w:t xml:space="preserve">Peut surestimer l’importance d’un texte</w:t>
            </w:r>
          </w:p>
          <w:p>
            <w:pPr>
              <w:pStyle w:val="ListParagraph"/>
              <w:numPr>
                <w:ilvl w:val="0"/>
                <w:numId w:val="2"/>
              </w:numPr>
              <w:spacing w:after="40" w:line="252"/>
            </w:pPr>
            <w:r>
              <w:rPr>
                <w:sz w:val="19"/>
                <w:szCs w:val="19"/>
              </w:rPr>
              <w:t xml:space="preserve">Ne connaît pas vos activités sans description</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Les textes et alertes, qui sont publics, et une description de votre périmètre, qui n’est pas sensible.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responsable de la veille juridique de </w:t>
            </w:r>
            <w:r>
              <w:rPr>
                <w:sz w:val="19"/>
                <w:szCs w:val="19"/>
                <w:highlight w:val="yellow"/>
              </w:rPr>
              <w:t xml:space="preserve">[organisation, secteur, pays d’activité]</w:t>
            </w:r>
            <w:r>
              <w:rPr>
                <w:sz w:val="19"/>
                <w:szCs w:val="19"/>
              </w:rPr>
              <w:t xml:space="preserve">.</w:t>
            </w:r>
          </w:p>
          <w:p>
            <w:pPr>
              <w:spacing w:after="70" w:line="252"/>
            </w:pPr>
            <w:r>
              <w:rPr>
                <w:b/>
                <w:bCs/>
                <w:color w:val="1D659C"/>
                <w:sz w:val="19"/>
                <w:szCs w:val="19"/>
              </w:rPr>
              <w:t xml:space="preserve">Contexte : </w:t>
            </w:r>
            <w:r>
              <w:rPr>
                <w:sz w:val="19"/>
                <w:szCs w:val="19"/>
              </w:rPr>
              <w:t xml:space="preserve">Nos activités et nos sujets sensibles : </w:t>
            </w:r>
            <w:r>
              <w:rPr>
                <w:sz w:val="19"/>
                <w:szCs w:val="19"/>
                <w:highlight w:val="yellow"/>
              </w:rPr>
              <w:t xml:space="preserve">[liste]</w:t>
            </w:r>
            <w:r>
              <w:rPr>
                <w:sz w:val="19"/>
                <w:szCs w:val="19"/>
              </w:rPr>
              <w:t xml:space="preserve">. Ci-dessous, les textes, alertes et articles reçus cette semaine.</w:t>
            </w:r>
          </w:p>
          <w:p>
            <w:pPr>
              <w:spacing w:after="70" w:line="252"/>
            </w:pPr>
            <w:r>
              <w:rPr>
                <w:b/>
                <w:bCs/>
                <w:color w:val="1D659C"/>
                <w:sz w:val="19"/>
                <w:szCs w:val="19"/>
              </w:rPr>
              <w:t xml:space="preserve">Tâche : </w:t>
            </w:r>
            <w:r>
              <w:rPr>
                <w:sz w:val="19"/>
                <w:szCs w:val="19"/>
              </w:rPr>
              <w:t xml:space="preserve">Pour chaque élément : titre en une ligne ; nature (texte adopté, projet, décision, position d’autorité, simple commentaire) ; date ; résumé en trois lignes ; impact pour nous (fort, moyen, faible, nul) justifié en une phrase ; action proposée et échéance. Ce qui ne nous concerne pas est listé en fin de note, une ligne chacun.</w:t>
            </w:r>
          </w:p>
          <w:p>
            <w:pPr>
              <w:spacing w:after="70" w:line="252"/>
            </w:pPr>
            <w:r>
              <w:rPr>
                <w:b/>
                <w:bCs/>
                <w:color w:val="1D659C"/>
                <w:sz w:val="19"/>
                <w:szCs w:val="19"/>
              </w:rPr>
              <w:t xml:space="preserve">Format : </w:t>
            </w:r>
            <w:r>
              <w:rPr>
                <w:sz w:val="19"/>
                <w:szCs w:val="19"/>
              </w:rPr>
              <w:t xml:space="preserve">tableau classé par impact décroissant, puis « les trois choses à retenir cette semaine » en trois phrases.</w:t>
            </w:r>
          </w:p>
          <w:p>
            <w:pPr>
              <w:spacing w:after="70" w:line="252"/>
            </w:pPr>
            <w:r>
              <w:rPr>
                <w:b/>
                <w:bCs/>
                <w:color w:val="1D659C"/>
                <w:sz w:val="19"/>
                <w:szCs w:val="19"/>
              </w:rPr>
              <w:t xml:space="preserve">Vérification : </w:t>
            </w:r>
            <w:r>
              <w:rPr>
                <w:sz w:val="19"/>
                <w:szCs w:val="19"/>
              </w:rPr>
              <w:t xml:space="preserve">ne complète jamais un texte avec ce que tu crois savoir de la suite ; indique la source de chaque ligne.</w:t>
            </w:r>
          </w:p>
          <w:p>
            <w:pPr>
              <w:spacing w:after="70" w:line="252"/>
            </w:pPr>
            <w:r>
              <w:rPr>
                <w:b/>
                <w:bCs/>
                <w:color w:val="1D659C"/>
                <w:sz w:val="19"/>
                <w:szCs w:val="19"/>
              </w:rPr>
              <w:t xml:space="preserve">Éléments : </w:t>
            </w:r>
            <w:r>
              <w:rPr>
                <w:sz w:val="19"/>
                <w:szCs w:val="19"/>
                <w:highlight w:val="yellow"/>
              </w:rPr>
              <w:t xml:space="preserve">[coller]</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Ouvrir les sources des lignes « impact fort ».</w:t>
      </w:r>
    </w:p>
    <w:p>
      <w:pPr>
        <w:pStyle w:val="ListParagraph"/>
        <w:numPr>
          <w:ilvl w:val="0"/>
          <w:numId w:val="5"/>
        </w:numPr>
        <w:spacing w:after="60" w:line="264"/>
      </w:pPr>
      <w:r>
        <w:t xml:space="preserve">Corriger la qualification d’impact : vous connaissez l’organisation, pas l’IA.</w:t>
      </w:r>
    </w:p>
    <w:p>
      <w:pPr>
        <w:pStyle w:val="ListParagraph"/>
        <w:numPr>
          <w:ilvl w:val="0"/>
          <w:numId w:val="5"/>
        </w:numPr>
        <w:spacing w:after="60" w:line="264"/>
      </w:pPr>
      <w:r>
        <w:t xml:space="preserve">Conserver le tableau : il devient la grille de la vigie du niveau 3.</w:t>
      </w:r>
    </w:p>
    <w:p>
      <w:pPr>
        <w:spacing w:after="80" w:before="60"/>
      </w:pPr>
      <w:r>
        <w:rPr>
          <w:b/>
          <w:bCs/>
          <w:color w:val="10213A"/>
        </w:rPr>
        <w:t xml:space="preserve">Variante. </w:t>
      </w:r>
      <w:r>
        <w:t xml:space="preserve">« À partir du tableau, rédige un message de dix lignes pour les juristes de l’équipe et un autre de cinq lignes pour les opérationnels concernés. »</w:t>
      </w:r>
    </w:p>
    <w:p>
      <w:pPr>
        <w:pStyle w:val="Heading3"/>
        <w:pageBreakBefore/>
      </w:pPr>
      <w:r>
        <w:t xml:space="preserve">Fiche 22  ·  Cartographier les risques d’un dossier</w:t>
      </w:r>
    </w:p>
    <w:p>
      <w:pPr>
        <w:spacing w:after="80"/>
      </w:pPr>
      <w:r>
        <w:rPr>
          <w:color w:val="5B6B7B"/>
          <w:sz w:val="17"/>
          <w:szCs w:val="17"/>
        </w:rPr>
        <w:t xml:space="preserve">Niveau 2  ·  Risques et conformité  ·  Capacité : Analyser  ·  Outils : tous, outil validé  ·  Temps gagné typique : 1 heure par dossier</w:t>
      </w:r>
    </w:p>
    <w:p>
      <w:pPr>
        <w:spacing w:after="100" w:line="264"/>
      </w:pPr>
      <w:r>
        <w:rPr>
          <w:b/>
          <w:bCs/>
          <w:color w:val="10213A"/>
        </w:rPr>
        <w:t xml:space="preserve">La situation. </w:t>
      </w:r>
      <w:r>
        <w:t xml:space="preserve">Un litige naissant, un projet d’acquisition, une inspection annoncée. La direction veut une vue hiérarchisée des risques et des mesures.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4800"/>
        <w:gridCol w:w="4800"/>
      </w:tblGrid>
      <w:tr>
        <w:trPr>
          <w:tblHeader/>
        </w:trPr>
        <w:tc>
          <w:tcPr>
            <w:tcW w:type="dxa" w:w="4800"/>
            <w:shd w:fill="EEF7F0" w:color="auto" w:val="clear"/>
            <w:tcMar>
              <w:top w:type="dxa" w:w="70"/>
              <w:left w:type="dxa" w:w="110"/>
              <w:bottom w:type="dxa" w:w="70"/>
              <w:right w:type="dxa" w:w="110"/>
            </w:tcMar>
          </w:tcPr>
          <w:p>
            <w:pPr>
              <w:spacing w:after="40" w:line="252"/>
            </w:pPr>
            <w:r>
              <w:rPr>
                <w:b/>
                <w:bCs/>
                <w:color w:val="10213A"/>
                <w:sz w:val="19"/>
                <w:szCs w:val="19"/>
              </w:rPr>
              <w:t xml:space="preserve">Ce que l’IA fait bien ici</w:t>
            </w:r>
          </w:p>
        </w:tc>
        <w:tc>
          <w:tcPr>
            <w:tcW w:type="dxa" w:w="4800"/>
            <w:shd w:fill="FDF1F1" w:color="auto" w:val="clear"/>
            <w:tcMar>
              <w:top w:type="dxa" w:w="70"/>
              <w:left w:type="dxa" w:w="110"/>
              <w:bottom w:type="dxa" w:w="70"/>
              <w:right w:type="dxa" w:w="110"/>
            </w:tcMar>
          </w:tcPr>
          <w:p>
            <w:pPr>
              <w:spacing w:after="40" w:line="252"/>
            </w:pPr>
            <w:r>
              <w:rPr>
                <w:b/>
                <w:bCs/>
                <w:color w:val="10213A"/>
                <w:sz w:val="19"/>
                <w:szCs w:val="19"/>
              </w:rPr>
              <w:t xml:space="preserve">Ce qu’elle ne fait pas</w:t>
            </w:r>
          </w:p>
        </w:tc>
      </w:tr>
      <w:tr>
        <w:trPr>
          <w:cantSplit/>
        </w:trPr>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Structure une matrice probabilité et gravité</w:t>
            </w:r>
          </w:p>
          <w:p>
            <w:pPr>
              <w:pStyle w:val="ListParagraph"/>
              <w:numPr>
                <w:ilvl w:val="0"/>
                <w:numId w:val="2"/>
              </w:numPr>
              <w:spacing w:after="40" w:line="252"/>
            </w:pPr>
            <w:r>
              <w:rPr>
                <w:sz w:val="19"/>
                <w:szCs w:val="19"/>
              </w:rPr>
              <w:t xml:space="preserve">Propose des mesures avec responsable et délai</w:t>
            </w:r>
          </w:p>
          <w:p>
            <w:pPr>
              <w:pStyle w:val="ListParagraph"/>
              <w:numPr>
                <w:ilvl w:val="0"/>
                <w:numId w:val="2"/>
              </w:numPr>
              <w:spacing w:after="40" w:line="252"/>
            </w:pPr>
            <w:r>
              <w:rPr>
                <w:sz w:val="19"/>
                <w:szCs w:val="19"/>
              </w:rPr>
              <w:t xml:space="preserve">Repère les risques oubliés dans une première liste</w:t>
            </w:r>
          </w:p>
        </w:tc>
        <w:tc>
          <w:tcPr>
            <w:tcW w:type="dxa" w:w="4800"/>
            <w:tcMar>
              <w:top w:type="dxa" w:w="70"/>
              <w:left w:type="dxa" w:w="110"/>
              <w:bottom w:type="dxa" w:w="70"/>
              <w:right w:type="dxa" w:w="110"/>
            </w:tcMar>
          </w:tcPr>
          <w:p>
            <w:pPr>
              <w:pStyle w:val="ListParagraph"/>
              <w:numPr>
                <w:ilvl w:val="0"/>
                <w:numId w:val="2"/>
              </w:numPr>
              <w:spacing w:after="40" w:line="252"/>
            </w:pPr>
            <w:r>
              <w:rPr>
                <w:sz w:val="19"/>
                <w:szCs w:val="19"/>
              </w:rPr>
              <w:t xml:space="preserve">N’évalue pas la probabilité réelle : il propose, vous notez</w:t>
            </w:r>
          </w:p>
          <w:p>
            <w:pPr>
              <w:pStyle w:val="ListParagraph"/>
              <w:numPr>
                <w:ilvl w:val="0"/>
                <w:numId w:val="2"/>
              </w:numPr>
              <w:spacing w:after="40" w:line="252"/>
            </w:pPr>
            <w:r>
              <w:rPr>
                <w:sz w:val="19"/>
                <w:szCs w:val="19"/>
              </w:rPr>
              <w:t xml:space="preserve">Ne connaît pas votre appétence au risque</w:t>
            </w:r>
          </w:p>
          <w:p>
            <w:pPr>
              <w:pStyle w:val="ListParagraph"/>
              <w:numPr>
                <w:ilvl w:val="0"/>
                <w:numId w:val="2"/>
              </w:numPr>
              <w:spacing w:after="40" w:line="252"/>
            </w:pPr>
            <w:r>
              <w:rPr>
                <w:sz w:val="19"/>
                <w:szCs w:val="19"/>
              </w:rPr>
              <w:t xml:space="preserve">Ne remplace pas l’avis du cabinet sur un contentieux</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FF7E0" w:sz="2"/>
              <w:left w:val="single" w:color="D9A400" w:sz="24"/>
              <w:bottom w:val="single" w:color="FFF7E0" w:sz="2"/>
              <w:right w:val="single" w:color="FFF7E0" w:sz="2"/>
            </w:tcBorders>
            <w:shd w:fill="FFF7E0" w:color="auto" w:val="clear"/>
            <w:tcMar>
              <w:top w:type="dxa" w:w="110"/>
              <w:left w:type="dxa" w:w="160"/>
              <w:bottom w:type="dxa" w:w="90"/>
              <w:right w:type="dxa" w:w="160"/>
            </w:tcMar>
          </w:tcPr>
          <w:p>
            <w:pPr>
              <w:spacing w:after="80"/>
            </w:pPr>
            <w:r>
              <w:rPr>
                <w:b/>
                <w:bCs/>
                <w:color w:val="10213A"/>
                <w:sz w:val="19"/>
                <w:szCs w:val="19"/>
              </w:rPr>
              <w:t xml:space="preserve">À ne pas coller dans l’outil</w:t>
            </w:r>
          </w:p>
          <w:p>
            <w:pPr>
              <w:spacing w:after="70" w:line="252"/>
            </w:pPr>
            <w:r>
              <w:rPr>
                <w:sz w:val="19"/>
                <w:szCs w:val="19"/>
              </w:rPr>
              <w:t xml:space="preserve">La description pseudonymisée du dossier, dans l’outil validé. Jamais les pièces d’un contentieux dans un outil non validé.</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Le prompt, à copier tel quel. Remplacez les champs surlignés.</w:t>
            </w:r>
          </w:p>
          <w:p>
            <w:pPr>
              <w:spacing w:after="70" w:line="252"/>
            </w:pPr>
            <w:r>
              <w:rPr>
                <w:b/>
                <w:bCs/>
                <w:color w:val="1D659C"/>
                <w:sz w:val="19"/>
                <w:szCs w:val="19"/>
              </w:rPr>
              <w:t xml:space="preserve">Rôle : </w:t>
            </w:r>
            <w:r>
              <w:rPr>
                <w:sz w:val="19"/>
                <w:szCs w:val="19"/>
              </w:rPr>
              <w:t xml:space="preserve">Tu es juriste en charge de la gestion des risques juridiques de </w:t>
            </w:r>
            <w:r>
              <w:rPr>
                <w:sz w:val="19"/>
                <w:szCs w:val="19"/>
                <w:highlight w:val="yellow"/>
              </w:rPr>
              <w:t xml:space="preserve">[organisation]</w:t>
            </w:r>
            <w:r>
              <w:rPr>
                <w:sz w:val="19"/>
                <w:szCs w:val="19"/>
              </w:rPr>
              <w:t xml:space="preserve">.</w:t>
            </w:r>
          </w:p>
          <w:p>
            <w:pPr>
              <w:spacing w:after="70" w:line="252"/>
            </w:pPr>
            <w:r>
              <w:rPr>
                <w:b/>
                <w:bCs/>
                <w:color w:val="1D659C"/>
                <w:sz w:val="19"/>
                <w:szCs w:val="19"/>
              </w:rPr>
              <w:t xml:space="preserve">Contexte : </w:t>
            </w:r>
            <w:r>
              <w:rPr>
                <w:sz w:val="19"/>
                <w:szCs w:val="19"/>
              </w:rPr>
              <w:t xml:space="preserve">Dossier : </w:t>
            </w:r>
            <w:r>
              <w:rPr>
                <w:sz w:val="19"/>
                <w:szCs w:val="19"/>
                <w:highlight w:val="yellow"/>
              </w:rPr>
              <w:t xml:space="preserve">[description pseudonymisée en dix lignes]</w:t>
            </w:r>
            <w:r>
              <w:rPr>
                <w:sz w:val="19"/>
                <w:szCs w:val="19"/>
              </w:rPr>
              <w:t xml:space="preserve">. Horizon : </w:t>
            </w:r>
            <w:r>
              <w:rPr>
                <w:sz w:val="19"/>
                <w:szCs w:val="19"/>
                <w:highlight w:val="yellow"/>
              </w:rPr>
              <w:t xml:space="preserve">[par exemple douze mois]</w:t>
            </w:r>
            <w:r>
              <w:rPr>
                <w:sz w:val="19"/>
                <w:szCs w:val="19"/>
              </w:rPr>
              <w:t xml:space="preserve">. Ce que la direction veut décider : </w:t>
            </w:r>
            <w:r>
              <w:rPr>
                <w:sz w:val="19"/>
                <w:szCs w:val="19"/>
                <w:highlight w:val="yellow"/>
              </w:rPr>
              <w:t xml:space="preserve">[décision]</w:t>
            </w:r>
            <w:r>
              <w:rPr>
                <w:sz w:val="19"/>
                <w:szCs w:val="19"/>
              </w:rPr>
              <w:t xml:space="preserve">.</w:t>
            </w:r>
          </w:p>
          <w:p>
            <w:pPr>
              <w:spacing w:after="70" w:line="252"/>
            </w:pPr>
            <w:r>
              <w:rPr>
                <w:b/>
                <w:bCs/>
                <w:color w:val="1D659C"/>
                <w:sz w:val="19"/>
                <w:szCs w:val="19"/>
              </w:rPr>
              <w:t xml:space="preserve">Tâche : </w:t>
            </w:r>
            <w:r>
              <w:rPr>
                <w:sz w:val="19"/>
                <w:szCs w:val="19"/>
              </w:rPr>
              <w:t xml:space="preserve">(1) Liste les risques juridiques, réglementaires, contractuels et réputationnels du dossier, y compris ceux que je n’ai pas cités. (2) Pour chacun, propose une note de probabilité (1 à 4) et de gravité (1 à 4) avec ta justification, que je corrigerai. (3) Propose une mesure de réduction, son responsable probable et son délai. (4) Signale les risques dont le traitement dépend d’un avis externe.</w:t>
            </w:r>
          </w:p>
          <w:p>
            <w:pPr>
              <w:spacing w:after="70" w:line="252"/>
            </w:pPr>
            <w:r>
              <w:rPr>
                <w:b/>
                <w:bCs/>
                <w:color w:val="1D659C"/>
                <w:sz w:val="19"/>
                <w:szCs w:val="19"/>
              </w:rPr>
              <w:t xml:space="preserve">Format : </w:t>
            </w:r>
            <w:r>
              <w:rPr>
                <w:sz w:val="19"/>
                <w:szCs w:val="19"/>
              </w:rPr>
              <w:t xml:space="preserve">tableau « risque | probabilité | gravité | justification | mesure | responsable | délai », puis une matrice 4 × 4 en texte avec les numéros des risques placés.</w:t>
            </w:r>
          </w:p>
          <w:p>
            <w:pPr>
              <w:spacing w:after="70" w:line="252"/>
            </w:pPr>
            <w:r>
              <w:rPr>
                <w:b/>
                <w:bCs/>
                <w:color w:val="1D659C"/>
                <w:sz w:val="19"/>
                <w:szCs w:val="19"/>
              </w:rPr>
              <w:t xml:space="preserve">Vérification : </w:t>
            </w:r>
            <w:r>
              <w:rPr>
                <w:sz w:val="19"/>
                <w:szCs w:val="19"/>
              </w:rPr>
              <w:t xml:space="preserve">marque d’un astérisque toute note que tu estimes peu fiable faute d’information.</w:t>
            </w:r>
          </w:p>
        </w:tc>
      </w:tr>
    </w:tbl>
    <w:p>
      <w:pPr>
        <w:spacing w:after="60"/>
      </w:pPr>
    </w:p>
    <w:p>
      <w:pPr>
        <w:keepNext/>
        <w:spacing w:after="60"/>
      </w:pPr>
      <w:r>
        <w:rPr>
          <w:b/>
          <w:bCs/>
          <w:color w:val="10213A"/>
        </w:rPr>
        <w:t xml:space="preserve">Vérifier avant d’utiliser</w:t>
      </w:r>
    </w:p>
    <w:p>
      <w:pPr>
        <w:pStyle w:val="ListParagraph"/>
        <w:numPr>
          <w:ilvl w:val="0"/>
          <w:numId w:val="5"/>
        </w:numPr>
        <w:spacing w:after="60" w:line="264"/>
      </w:pPr>
      <w:r>
        <w:t xml:space="preserve">Re-noter vous-même chaque risque.</w:t>
      </w:r>
    </w:p>
    <w:p>
      <w:pPr>
        <w:pStyle w:val="ListParagraph"/>
        <w:numPr>
          <w:ilvl w:val="0"/>
          <w:numId w:val="5"/>
        </w:numPr>
        <w:spacing w:after="60" w:line="264"/>
      </w:pPr>
      <w:r>
        <w:t xml:space="preserve">Vérifier qu’aucune mesure ne suppose une information confidentielle sortie de l’organisation.</w:t>
      </w:r>
    </w:p>
    <w:p>
      <w:pPr>
        <w:pStyle w:val="ListParagraph"/>
        <w:numPr>
          <w:ilvl w:val="0"/>
          <w:numId w:val="5"/>
        </w:numPr>
        <w:spacing w:after="60" w:line="264"/>
      </w:pPr>
      <w:r>
        <w:t xml:space="preserve">Présenter la matrice comme la vôtre : l’IA a servi de liste de contrôle.</w:t>
      </w:r>
    </w:p>
    <w:p>
      <w:pPr>
        <w:spacing w:after="80" w:before="60"/>
      </w:pPr>
      <w:r>
        <w:rPr>
          <w:b/>
          <w:bCs/>
          <w:color w:val="10213A"/>
        </w:rPr>
        <w:t xml:space="preserve">Variante. </w:t>
      </w:r>
      <w:r>
        <w:t xml:space="preserve">« Rédige la page de synthèse pour le comité : trois risques majeurs, trois mesures, une décision. »</w:t>
      </w:r>
    </w:p>
    <w:p>
      <w:pPr>
        <w:pStyle w:val="Heading1"/>
        <w:pageBreakBefore/>
      </w:pPr>
      <w:r>
        <w:t xml:space="preserve">Niveau 3. Déléguer à des assistants et des agents supervisés</w:t>
      </w:r>
    </w:p>
    <w:p>
      <w:pPr>
        <w:spacing w:after="100" w:line="264"/>
      </w:pPr>
      <w:r>
        <w:t xml:space="preserve">Huit fiches où le prompt devient une instruction permanente. Vous ne recollez plus le playbook à chaque contrat : vous le fixez dans un assistant que toute l’équipe interroge de la même façon. Vous ne triez plus la veille à la main : une vigie va chercher et pré-qualifie, vous relisez. Et pour les chaînes de tâches longues (revue complète d’un contrat, analyse d’un portefeuille, préparation d’un dossier), vous confiez la mission à un agent qui travaille dans vos fichiers et s’arrête à chaque étape pour votre validation.</w:t>
      </w:r>
    </w:p>
    <w:p>
      <w:pPr>
        <w:spacing w:after="100" w:line="264"/>
      </w:pPr>
      <w:r>
        <w:rPr>
          <w:b/>
          <w:bCs/>
        </w:rPr>
        <w:t xml:space="preserve">La règle du niveau 3 tient en une phrase : l’humain reste dans la boucle.</w:t>
      </w:r>
      <w:r>
        <w:t xml:space="preserve"> Quatre équipes juridiques sur cinq explorent les agents, et presque toutes exigent une supervision humaine (LegalOn, 2026). Chaque fiche précise donc ce que l’assistant ne fait jamais seul, qui en est propriétaire, et comment on le teste avant de l’ouvrir aux autres.</w:t>
      </w:r>
    </w:p>
    <w:p>
      <w:pPr>
        <w:spacing w:after="100" w:line="264"/>
      </w:pPr>
      <w:r>
        <w:rPr>
          <w:b/>
          <w:bCs/>
        </w:rPr>
        <w:t xml:space="preserve">Trois formes d’outils</w:t>
      </w:r>
      <w:r>
        <w:t xml:space="preserve"> reviennent dans ces fiches. L’</w:t>
      </w:r>
      <w:r>
        <w:rPr>
          <w:b/>
          <w:bCs/>
        </w:rPr>
        <w:t xml:space="preserve">assistant configuré</w:t>
      </w:r>
      <w:r>
        <w:t xml:space="preserve"> : un espace persistant avec des instructions et des documents de référence (agent Copilot, GPT, Project Claude ou ChatGPT, Gem Gemini, agent Mistral). La </w:t>
      </w:r>
      <w:r>
        <w:rPr>
          <w:b/>
          <w:bCs/>
        </w:rPr>
        <w:t xml:space="preserve">vigie</w:t>
      </w:r>
      <w:r>
        <w:t xml:space="preserve"> : un assistant qui a accès à la recherche web ou à des connecteurs et travaille sur un rythme. L’</w:t>
      </w:r>
      <w:r>
        <w:rPr>
          <w:b/>
          <w:bCs/>
        </w:rPr>
        <w:t xml:space="preserve">agent de mission</w:t>
      </w:r>
      <w:r>
        <w:t xml:space="preserve"> : un outil qui lit et écrit dans vos fichiers, étape par étape (Claude Cowork, Copilot Cowork, mode agent de ChatGPT). L’annexe D indique où trouver chaque forme chez chaque éditeur ; votre DSI indique lesquelles sont autorisées.</w:t>
      </w:r>
    </w:p>
    <w:p>
      <w:pPr>
        <w:spacing w:after="100" w:line="264"/>
      </w:pPr>
      <w:r>
        <w:rPr>
          <w:b/>
          <w:bCs/>
        </w:rPr>
        <w:t xml:space="preserve">Avant d’ouvrir un assistant à l’équipe</w:t>
      </w:r>
      <w:r>
        <w:t xml:space="preserve"> : un propriétaire nommé, un test sur vingt cas réels déjà traités à la main, une mention visible « préparation par assistant, validation par un juriste », et une revue mensuelle des instructions.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400"/>
        <w:gridCol w:w="7200"/>
      </w:tblGrid>
      <w:tr>
        <w:trPr>
          <w:cantSplit/>
          <w:tblHeader/>
        </w:trPr>
        <w:tc>
          <w:tcPr>
            <w:tcW w:type="dxa" w:w="2400"/>
            <w:shd w:fill="10213A" w:color="auto" w:val="clear"/>
            <w:tcMar>
              <w:top w:type="dxa" w:w="70"/>
              <w:left w:type="dxa" w:w="110"/>
              <w:bottom w:type="dxa" w:w="70"/>
              <w:right w:type="dxa" w:w="110"/>
            </w:tcMar>
          </w:tcPr>
          <w:p>
            <w:pPr>
              <w:spacing w:after="40" w:line="252"/>
            </w:pPr>
            <w:r>
              <w:rPr>
                <w:b/>
                <w:bCs/>
                <w:color w:val="FFFFFF"/>
                <w:sz w:val="19"/>
                <w:szCs w:val="19"/>
              </w:rPr>
              <w:t xml:space="preserve">Famille</w:t>
            </w:r>
          </w:p>
        </w:tc>
        <w:tc>
          <w:tcPr>
            <w:tcW w:type="dxa" w:w="7200"/>
            <w:shd w:fill="10213A" w:color="auto" w:val="clear"/>
            <w:tcMar>
              <w:top w:type="dxa" w:w="70"/>
              <w:left w:type="dxa" w:w="110"/>
              <w:bottom w:type="dxa" w:w="70"/>
              <w:right w:type="dxa" w:w="110"/>
            </w:tcMar>
          </w:tcPr>
          <w:p>
            <w:pPr>
              <w:spacing w:after="40" w:line="252"/>
            </w:pPr>
            <w:r>
              <w:rPr>
                <w:b/>
                <w:bCs/>
                <w:color w:val="FFFFFF"/>
                <w:sz w:val="19"/>
                <w:szCs w:val="19"/>
              </w:rPr>
              <w:t xml:space="preserve">Fiches du niveau 3</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Analyse contractuelle</w:t>
            </w:r>
          </w:p>
        </w:tc>
        <w:tc>
          <w:tcPr>
            <w:tcW w:type="dxa" w:w="7200"/>
            <w:tcMar>
              <w:top w:type="dxa" w:w="70"/>
              <w:left w:type="dxa" w:w="110"/>
              <w:bottom w:type="dxa" w:w="70"/>
              <w:right w:type="dxa" w:w="110"/>
            </w:tcMar>
          </w:tcPr>
          <w:p>
            <w:pPr>
              <w:spacing w:after="40" w:line="252"/>
            </w:pPr>
            <w:r>
              <w:rPr>
                <w:sz w:val="19"/>
                <w:szCs w:val="19"/>
              </w:rPr>
              <w:t xml:space="preserve">23 Assistant playbook · 25 Vigie des délais · 28 Revue de bout en bout</w:t>
            </w:r>
          </w:p>
        </w:tc>
      </w:tr>
      <w:tr>
        <w:trPr>
          <w:cantSplit/>
          <w:tblHeader w:val="false"/>
        </w:trPr>
        <w:tc>
          <w:tcPr>
            <w:tcW w:type="dxa" w:w="2400"/>
            <w:shd w:fill="F2F6FA" w:color="auto" w:val="clear"/>
            <w:tcMar>
              <w:top w:type="dxa" w:w="70"/>
              <w:left w:type="dxa" w:w="110"/>
              <w:bottom w:type="dxa" w:w="70"/>
              <w:right w:type="dxa" w:w="110"/>
            </w:tcMar>
          </w:tcPr>
          <w:p>
            <w:pPr>
              <w:spacing w:after="40" w:line="252"/>
            </w:pPr>
            <w:r>
              <w:rPr>
                <w:sz w:val="19"/>
                <w:szCs w:val="19"/>
              </w:rPr>
              <w:t xml:space="preserve">Comparaison</w:t>
            </w:r>
          </w:p>
        </w:tc>
        <w:tc>
          <w:tcPr>
            <w:tcW w:type="dxa" w:w="7200"/>
            <w:shd w:fill="F2F6FA" w:color="auto" w:val="clear"/>
            <w:tcMar>
              <w:top w:type="dxa" w:w="70"/>
              <w:left w:type="dxa" w:w="110"/>
              <w:bottom w:type="dxa" w:w="70"/>
              <w:right w:type="dxa" w:w="110"/>
            </w:tcMar>
          </w:tcPr>
          <w:p>
            <w:pPr>
              <w:spacing w:after="40" w:line="252"/>
            </w:pPr>
            <w:r>
              <w:rPr>
                <w:sz w:val="19"/>
                <w:szCs w:val="19"/>
              </w:rPr>
              <w:t xml:space="preserve">29 Analyse en masse d’un portefeuille</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Rédaction</w:t>
            </w:r>
          </w:p>
        </w:tc>
        <w:tc>
          <w:tcPr>
            <w:tcW w:type="dxa" w:w="7200"/>
            <w:tcMar>
              <w:top w:type="dxa" w:w="70"/>
              <w:left w:type="dxa" w:w="110"/>
              <w:bottom w:type="dxa" w:w="70"/>
              <w:right w:type="dxa" w:w="110"/>
            </w:tcMar>
          </w:tcPr>
          <w:p>
            <w:pPr>
              <w:spacing w:after="40" w:line="252"/>
            </w:pPr>
            <w:r>
              <w:rPr>
                <w:sz w:val="19"/>
                <w:szCs w:val="19"/>
              </w:rPr>
              <w:t xml:space="preserve">27 Générateur de trames</w:t>
            </w:r>
          </w:p>
        </w:tc>
      </w:tr>
      <w:tr>
        <w:trPr>
          <w:cantSplit/>
          <w:tblHeader w:val="false"/>
        </w:trPr>
        <w:tc>
          <w:tcPr>
            <w:tcW w:type="dxa" w:w="2400"/>
            <w:shd w:fill="F2F6FA" w:color="auto" w:val="clear"/>
            <w:tcMar>
              <w:top w:type="dxa" w:w="70"/>
              <w:left w:type="dxa" w:w="110"/>
              <w:bottom w:type="dxa" w:w="70"/>
              <w:right w:type="dxa" w:w="110"/>
            </w:tcMar>
          </w:tcPr>
          <w:p>
            <w:pPr>
              <w:spacing w:after="40" w:line="252"/>
            </w:pPr>
            <w:r>
              <w:rPr>
                <w:sz w:val="19"/>
                <w:szCs w:val="19"/>
              </w:rPr>
              <w:t xml:space="preserve">Risques et conformité</w:t>
            </w:r>
          </w:p>
        </w:tc>
        <w:tc>
          <w:tcPr>
            <w:tcW w:type="dxa" w:w="7200"/>
            <w:shd w:fill="F2F6FA" w:color="auto" w:val="clear"/>
            <w:tcMar>
              <w:top w:type="dxa" w:w="70"/>
              <w:left w:type="dxa" w:w="110"/>
              <w:bottom w:type="dxa" w:w="70"/>
              <w:right w:type="dxa" w:w="110"/>
            </w:tcMar>
          </w:tcPr>
          <w:p>
            <w:pPr>
              <w:spacing w:after="40" w:line="252"/>
            </w:pPr>
            <w:r>
              <w:rPr>
                <w:sz w:val="19"/>
                <w:szCs w:val="19"/>
              </w:rPr>
              <w:t xml:space="preserve">30 Dossier contentieux à partir d’un corpus</w:t>
            </w:r>
          </w:p>
        </w:tc>
      </w:tr>
      <w:tr>
        <w:trPr>
          <w:cantSplit/>
          <w:tblHeader w:val="false"/>
        </w:trPr>
        <w:tc>
          <w:tcPr>
            <w:tcW w:type="dxa" w:w="2400"/>
            <w:tcMar>
              <w:top w:type="dxa" w:w="70"/>
              <w:left w:type="dxa" w:w="110"/>
              <w:bottom w:type="dxa" w:w="70"/>
              <w:right w:type="dxa" w:w="110"/>
            </w:tcMar>
          </w:tcPr>
          <w:p>
            <w:pPr>
              <w:spacing w:after="40" w:line="252"/>
            </w:pPr>
            <w:r>
              <w:rPr>
                <w:sz w:val="19"/>
                <w:szCs w:val="19"/>
              </w:rPr>
              <w:t xml:space="preserve">Recherche juridique</w:t>
            </w:r>
          </w:p>
        </w:tc>
        <w:tc>
          <w:tcPr>
            <w:tcW w:type="dxa" w:w="7200"/>
            <w:tcMar>
              <w:top w:type="dxa" w:w="70"/>
              <w:left w:type="dxa" w:w="110"/>
              <w:bottom w:type="dxa" w:w="70"/>
              <w:right w:type="dxa" w:w="110"/>
            </w:tcMar>
          </w:tcPr>
          <w:p>
            <w:pPr>
              <w:spacing w:after="40" w:line="252"/>
            </w:pPr>
            <w:r>
              <w:rPr>
                <w:sz w:val="19"/>
                <w:szCs w:val="19"/>
              </w:rPr>
              <w:t xml:space="preserve">24 Vigie réglementaire</w:t>
            </w:r>
          </w:p>
        </w:tc>
      </w:tr>
      <w:tr>
        <w:trPr>
          <w:cantSplit/>
          <w:tblHeader w:val="false"/>
        </w:trPr>
        <w:tc>
          <w:tcPr>
            <w:tcW w:type="dxa" w:w="2400"/>
            <w:shd w:fill="F2F6FA" w:color="auto" w:val="clear"/>
            <w:tcMar>
              <w:top w:type="dxa" w:w="70"/>
              <w:left w:type="dxa" w:w="110"/>
              <w:bottom w:type="dxa" w:w="70"/>
              <w:right w:type="dxa" w:w="110"/>
            </w:tcMar>
          </w:tcPr>
          <w:p>
            <w:pPr>
              <w:spacing w:after="40" w:line="252"/>
            </w:pPr>
            <w:r>
              <w:rPr>
                <w:sz w:val="19"/>
                <w:szCs w:val="19"/>
              </w:rPr>
              <w:t xml:space="preserve">Communication</w:t>
            </w:r>
          </w:p>
        </w:tc>
        <w:tc>
          <w:tcPr>
            <w:tcW w:type="dxa" w:w="7200"/>
            <w:shd w:fill="F2F6FA" w:color="auto" w:val="clear"/>
            <w:tcMar>
              <w:top w:type="dxa" w:w="70"/>
              <w:left w:type="dxa" w:w="110"/>
              <w:bottom w:type="dxa" w:w="70"/>
              <w:right w:type="dxa" w:w="110"/>
            </w:tcMar>
          </w:tcPr>
          <w:p>
            <w:pPr>
              <w:spacing w:after="40" w:line="252"/>
            </w:pPr>
            <w:r>
              <w:rPr>
                <w:sz w:val="19"/>
                <w:szCs w:val="19"/>
              </w:rPr>
              <w:t xml:space="preserve">26 Assistant de premier niveau pour les opérationnels</w:t>
            </w:r>
          </w:p>
        </w:tc>
      </w:tr>
    </w:tbl>
    <w:p>
      <w:pPr>
        <w:pStyle w:val="Heading3"/>
        <w:pageBreakBefore/>
      </w:pPr>
      <w:r>
        <w:t xml:space="preserve">Fiche 23  ·  Son assistant playbook contractuel</w:t>
      </w:r>
    </w:p>
    <w:p>
      <w:pPr>
        <w:spacing w:after="80"/>
      </w:pPr>
      <w:r>
        <w:rPr>
          <w:color w:val="5B6B7B"/>
          <w:sz w:val="17"/>
          <w:szCs w:val="17"/>
        </w:rPr>
        <w:t xml:space="preserve">Niveau 3  ·  Analyse contractuelle  ·  Forme : assistant configuré  ·  Outils : Copilot (agent), ChatGPT (Project ou GPT), Claude (Project), Gemini (Gem), Mistral (agent)  ·  Temps gagné typique : 1 heure par contrat, pour toute l’équipe</w:t>
      </w:r>
    </w:p>
    <w:p>
      <w:pPr>
        <w:spacing w:after="100" w:line="264"/>
      </w:pPr>
      <w:r>
        <w:rPr>
          <w:b/>
          <w:bCs/>
          <w:color w:val="10213A"/>
        </w:rPr>
        <w:t xml:space="preserve">La situation. </w:t>
      </w:r>
      <w:r>
        <w:t xml:space="preserve">Chaque contrat entrant est comparé au playbook (fiche 12). Plutôt que de recoller le playbook à chaque fois, vous le fixez dans un assistant permanent que toute l’équipe utilise de la même façon.</w:t>
      </w:r>
    </w:p>
    <w:p>
      <w:pPr>
        <w:spacing w:after="100" w:line="264"/>
      </w:pPr>
      <w:r>
        <w:rPr>
          <w:b/>
          <w:bCs/>
          <w:color w:val="10213A"/>
        </w:rPr>
        <w:t xml:space="preserve">Ce que ça change. </w:t>
      </w:r>
      <w:r>
        <w:t xml:space="preserve">Le playbook devient une instruction permanente ; chaque juriste obtient la même première analyse ; les positions évoluent à un seul endroit, sous la responsabilité d’un propriétaire.</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Instructions permanentes, à coller dans la configuration de l’assistant. Remplacez les champs surlignés.</w:t>
            </w:r>
          </w:p>
          <w:p>
            <w:pPr>
              <w:spacing w:after="70" w:line="252"/>
            </w:pPr>
            <w:r>
              <w:rPr>
                <w:sz w:val="19"/>
                <w:szCs w:val="19"/>
              </w:rPr>
              <w:t xml:space="preserve">Tu es l’assistant de revue contractuelle de la direction juridique de </w:t>
            </w:r>
            <w:r>
              <w:rPr>
                <w:sz w:val="19"/>
                <w:szCs w:val="19"/>
                <w:highlight w:val="yellow"/>
              </w:rPr>
              <w:t xml:space="preserve">[organisation]</w:t>
            </w:r>
            <w:r>
              <w:rPr>
                <w:sz w:val="19"/>
                <w:szCs w:val="19"/>
              </w:rPr>
              <w:t xml:space="preserve">. Tu appliques exclusivement le playbook joint : positions standard, positions de repli et lignes rouges, clause par clause.</w:t>
            </w:r>
          </w:p>
          <w:p>
            <w:pPr>
              <w:spacing w:after="70" w:line="252"/>
            </w:pPr>
            <w:r>
              <w:rPr>
                <w:sz w:val="19"/>
                <w:szCs w:val="19"/>
              </w:rPr>
              <w:t xml:space="preserve">Quand on te donne un contrat : (1) identifie le type de contrat et notre rôle ; (2) compare chaque clause au playbook et attribue un statut de 1 à 5 selon la grille du playbook ; (3) cite le texte du contrat pour chaque écart ; (4) propose une reformulation alignée sur la position de repli ; (5) termine par les trois points à négocier en priorité.</w:t>
            </w:r>
          </w:p>
          <w:p>
            <w:pPr>
              <w:spacing w:after="70" w:line="252"/>
            </w:pPr>
            <w:r>
              <w:rPr>
                <w:sz w:val="19"/>
                <w:szCs w:val="19"/>
              </w:rPr>
              <w:t xml:space="preserve">Tu ne qualifies jamais une ligne rouge que le playbook ne nomme pas. Tu ne rends jamais d’avis sur l’opportunité de signer. Si une information manque, tu poses la question au lieu de supposer.</w:t>
            </w:r>
          </w:p>
          <w:p>
            <w:pPr>
              <w:spacing w:after="70" w:line="252"/>
            </w:pPr>
            <w:r>
              <w:rPr>
                <w:sz w:val="19"/>
                <w:szCs w:val="19"/>
              </w:rPr>
              <w:t xml:space="preserve">Tu termines chaque réponse par : « Analyse préparatoire, à valider par un juriste. »</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Voici le contrat </w:t>
            </w:r>
            <w:r>
              <w:rPr>
                <w:sz w:val="19"/>
                <w:szCs w:val="19"/>
                <w:highlight w:val="yellow"/>
              </w:rPr>
              <w:t xml:space="preserve">[type]</w:t>
            </w:r>
            <w:r>
              <w:rPr>
                <w:sz w:val="19"/>
                <w:szCs w:val="19"/>
              </w:rPr>
              <w:t xml:space="preserve"> reçu de </w:t>
            </w:r>
            <w:r>
              <w:rPr>
                <w:sz w:val="19"/>
                <w:szCs w:val="19"/>
                <w:highlight w:val="yellow"/>
              </w:rPr>
              <w:t xml:space="preserve">[contrepartie pseudonymisée]</w:t>
            </w:r>
            <w:r>
              <w:rPr>
                <w:sz w:val="19"/>
                <w:szCs w:val="19"/>
              </w:rPr>
              <w:t xml:space="preserve"> pour </w:t>
            </w:r>
            <w:r>
              <w:rPr>
                <w:sz w:val="19"/>
                <w:szCs w:val="19"/>
                <w:highlight w:val="yellow"/>
              </w:rPr>
              <w:t xml:space="preserve">[objet]</w:t>
            </w:r>
            <w:r>
              <w:rPr>
                <w:sz w:val="19"/>
                <w:szCs w:val="19"/>
              </w:rPr>
              <w:t xml:space="preserve">. Nous sommes </w:t>
            </w:r>
            <w:r>
              <w:rPr>
                <w:sz w:val="19"/>
                <w:szCs w:val="19"/>
                <w:highlight w:val="yellow"/>
              </w:rPr>
              <w:t xml:space="preserve">[client ou fournisseur]</w:t>
            </w:r>
            <w:r>
              <w:rPr>
                <w:sz w:val="19"/>
                <w:szCs w:val="19"/>
              </w:rPr>
              <w:t xml:space="preserve">. Fais la revue selon le playbook.</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Un propriétaire du playbook, une révision mensuelle des positions, un historique des versions.</w:t>
      </w:r>
    </w:p>
    <w:p>
      <w:pPr>
        <w:pStyle w:val="ListParagraph"/>
        <w:numPr>
          <w:ilvl w:val="0"/>
          <w:numId w:val="5"/>
        </w:numPr>
        <w:spacing w:after="60" w:line="264"/>
      </w:pPr>
      <w:r>
        <w:t xml:space="preserve">Un test trimestriel sur un contrat déjà revu à la main, pour mesurer les écarts entre l’assistant et le juriste.</w:t>
      </w:r>
    </w:p>
    <w:p>
      <w:pPr>
        <w:pStyle w:val="ListParagraph"/>
        <w:numPr>
          <w:ilvl w:val="0"/>
          <w:numId w:val="5"/>
        </w:numPr>
        <w:spacing w:after="60" w:line="264"/>
      </w:pPr>
      <w:r>
        <w:t xml:space="preserve">Aucun contrat de tiers reçu sous NDA hors de l’outil validé.</w:t>
      </w:r>
    </w:p>
    <w:p>
      <w:pPr>
        <w:pStyle w:val="ListParagraph"/>
        <w:numPr>
          <w:ilvl w:val="0"/>
          <w:numId w:val="5"/>
        </w:numPr>
        <w:spacing w:after="60" w:line="264"/>
      </w:pPr>
      <w:r>
        <w:t xml:space="preserve">L’assistant ne répond jamais directement au métier : la sortie passe par un juriste.</w:t>
      </w:r>
    </w:p>
    <w:p>
      <w:pPr>
        <w:spacing w:after="80" w:before="60"/>
      </w:pPr>
      <w:r>
        <w:rPr>
          <w:b/>
          <w:bCs/>
          <w:color w:val="10213A"/>
        </w:rPr>
        <w:t xml:space="preserve">Par outil. </w:t>
      </w:r>
      <w:r>
        <w:t xml:space="preserve">Copilot : agent créé avec Agent Builder, playbook en source SharePoint. ChatGPT : Project ou GPT interne avec le fichier joint. Claude : Project avec le playbook dans les connaissances. Gemini : Gem avec fichier. Mistral : agent avec document de référence.</w:t>
      </w:r>
    </w:p>
    <w:p>
      <w:pPr>
        <w:spacing w:after="80"/>
      </w:pPr>
      <w:r>
        <w:rPr>
          <w:b/>
          <w:bCs/>
          <w:color w:val="10213A"/>
        </w:rPr>
        <w:t xml:space="preserve">Fiche associée sur app.nextstart.ai. </w:t>
      </w:r>
      <w:r>
        <w:t xml:space="preserve">« Assistant IA clauses et playbook contractuel ».</w:t>
      </w:r>
    </w:p>
    <w:p>
      <w:pPr>
        <w:pStyle w:val="Heading3"/>
        <w:pageBreakBefore/>
      </w:pPr>
      <w:r>
        <w:t xml:space="preserve">Fiche 24  ·  Vigie réglementaire hebdomadaire</w:t>
      </w:r>
    </w:p>
    <w:p>
      <w:pPr>
        <w:spacing w:after="80"/>
      </w:pPr>
      <w:r>
        <w:rPr>
          <w:color w:val="5B6B7B"/>
          <w:sz w:val="17"/>
          <w:szCs w:val="17"/>
        </w:rPr>
        <w:t xml:space="preserve">Niveau 3  ·  Recherche juridique  ·  Forme : vigie avec recherche web  ·  Outils : outil doté de la recherche web ou de connecteurs autorisés  ·  Temps gagné typique : 1 heure par semaine</w:t>
      </w:r>
    </w:p>
    <w:p>
      <w:pPr>
        <w:spacing w:after="100" w:line="264"/>
      </w:pPr>
      <w:r>
        <w:rPr>
          <w:b/>
          <w:bCs/>
          <w:color w:val="10213A"/>
        </w:rPr>
        <w:t xml:space="preserve">La situation. </w:t>
      </w:r>
      <w:r>
        <w:t xml:space="preserve">La veille manuelle de la fiche 21 prend une heure par semaine, et encore faut-il que les bonnes alertes soient arrivées. Vous voulez qu’un assistant rassemble et pré-qualifie chaque semaine ce qui a été publié sur votre périmètre.</w:t>
      </w:r>
    </w:p>
    <w:p>
      <w:pPr>
        <w:spacing w:after="100" w:line="264"/>
      </w:pPr>
      <w:r>
        <w:rPr>
          <w:b/>
          <w:bCs/>
          <w:color w:val="10213A"/>
        </w:rPr>
        <w:t xml:space="preserve">Ce que ça change. </w:t>
      </w:r>
      <w:r>
        <w:t xml:space="preserve">L’assistant va chercher dans une liste fermée de sources officielles, applique votre grille d’impact, et vous relisez. La veille devient régulière et traçable.</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Instructions permanentes, à coller dans la configuration de l’assistant. Remplacez les champs surlignés.</w:t>
            </w:r>
          </w:p>
          <w:p>
            <w:pPr>
              <w:spacing w:after="70" w:line="252"/>
            </w:pPr>
            <w:r>
              <w:rPr>
                <w:sz w:val="19"/>
                <w:szCs w:val="19"/>
              </w:rPr>
              <w:t xml:space="preserve">Tu es la vigie réglementaire de la direction juridique de </w:t>
            </w:r>
            <w:r>
              <w:rPr>
                <w:sz w:val="19"/>
                <w:szCs w:val="19"/>
                <w:highlight w:val="yellow"/>
              </w:rPr>
              <w:t xml:space="preserve">[organisation, secteur]</w:t>
            </w:r>
            <w:r>
              <w:rPr>
                <w:sz w:val="19"/>
                <w:szCs w:val="19"/>
              </w:rPr>
              <w:t xml:space="preserve">. Périmètre : </w:t>
            </w:r>
            <w:r>
              <w:rPr>
                <w:sz w:val="19"/>
                <w:szCs w:val="19"/>
                <w:highlight w:val="yellow"/>
              </w:rPr>
              <w:t xml:space="preserve">[thèmes, pays, autorités]</w:t>
            </w:r>
            <w:r>
              <w:rPr>
                <w:sz w:val="19"/>
                <w:szCs w:val="19"/>
              </w:rPr>
              <w:t xml:space="preserve">. Sources autorisées, exclusivement : </w:t>
            </w:r>
            <w:r>
              <w:rPr>
                <w:sz w:val="19"/>
                <w:szCs w:val="19"/>
                <w:highlight w:val="yellow"/>
              </w:rPr>
              <w:t xml:space="preserve">[liste d’adresses officielles : Légifrance, EUR-Lex, autorités sectorielles, CNIL, etc.]</w:t>
            </w:r>
            <w:r>
              <w:rPr>
                <w:sz w:val="19"/>
                <w:szCs w:val="19"/>
              </w:rPr>
              <w:t xml:space="preserve">.</w:t>
            </w:r>
          </w:p>
          <w:p>
            <w:pPr>
              <w:spacing w:after="70" w:line="252"/>
            </w:pPr>
            <w:r>
              <w:rPr>
                <w:sz w:val="19"/>
                <w:szCs w:val="19"/>
              </w:rPr>
              <w:t xml:space="preserve">Chaque semaine, tu recherches ce qui a été publié depuis la dernière veille dans ces sources uniquement. Tu écartes tout ce qui vient d’un autre site. Pour chaque élément retenu : titre, nature, date, source avec lien, résumé en trois lignes, impact selon notre grille </w:t>
            </w:r>
            <w:r>
              <w:rPr>
                <w:sz w:val="19"/>
                <w:szCs w:val="19"/>
                <w:highlight w:val="yellow"/>
              </w:rPr>
              <w:t xml:space="preserve">[grille en quatre niveaux, définie]</w:t>
            </w:r>
            <w:r>
              <w:rPr>
                <w:sz w:val="19"/>
                <w:szCs w:val="19"/>
              </w:rPr>
              <w:t xml:space="preserve">, action proposée.</w:t>
            </w:r>
          </w:p>
          <w:p>
            <w:pPr>
              <w:spacing w:after="70" w:line="252"/>
            </w:pPr>
            <w:r>
              <w:rPr>
                <w:sz w:val="19"/>
                <w:szCs w:val="19"/>
              </w:rPr>
              <w:t xml:space="preserve">Tu ne résumes que ce que tu as lu ; si tu n’as pas pu accéder au texte, tu écris « texte non consulté ». Tu termines par « trois choses à retenir ».</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Lance la veille de la semaine du </w:t>
            </w:r>
            <w:r>
              <w:rPr>
                <w:sz w:val="19"/>
                <w:szCs w:val="19"/>
                <w:highlight w:val="yellow"/>
              </w:rPr>
              <w:t xml:space="preserve">[date]</w:t>
            </w:r>
            <w:r>
              <w:rPr>
                <w:sz w:val="19"/>
                <w:szCs w:val="19"/>
              </w:rPr>
              <w:t xml:space="preserve"> au </w:t>
            </w:r>
            <w:r>
              <w:rPr>
                <w:sz w:val="19"/>
                <w:szCs w:val="19"/>
                <w:highlight w:val="yellow"/>
              </w:rPr>
              <w:t xml:space="preserve">[date]</w:t>
            </w:r>
            <w:r>
              <w:rPr>
                <w:sz w:val="19"/>
                <w:szCs w:val="19"/>
              </w:rPr>
              <w:t xml:space="preserve">.</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Un juriste ouvre chaque lien classé « impact fort » avant diffusion.</w:t>
      </w:r>
    </w:p>
    <w:p>
      <w:pPr>
        <w:pStyle w:val="ListParagraph"/>
        <w:numPr>
          <w:ilvl w:val="0"/>
          <w:numId w:val="5"/>
        </w:numPr>
        <w:spacing w:after="60" w:line="264"/>
      </w:pPr>
      <w:r>
        <w:t xml:space="preserve">La liste des sources est fermée et revue chaque trimestre.</w:t>
      </w:r>
    </w:p>
    <w:p>
      <w:pPr>
        <w:pStyle w:val="ListParagraph"/>
        <w:numPr>
          <w:ilvl w:val="0"/>
          <w:numId w:val="5"/>
        </w:numPr>
        <w:spacing w:after="60" w:line="264"/>
      </w:pPr>
      <w:r>
        <w:t xml:space="preserve">La veille diffusée porte la mention « pré-qualifiée par assistant, validée par </w:t>
      </w:r>
      <w:r>
        <w:rPr>
          <w:highlight w:val="yellow"/>
        </w:rPr>
        <w:t xml:space="preserve">[nom]</w:t>
      </w:r>
      <w:r>
        <w:t xml:space="preserve"> ».</w:t>
      </w:r>
    </w:p>
    <w:p>
      <w:pPr>
        <w:pStyle w:val="ListParagraph"/>
        <w:numPr>
          <w:ilvl w:val="0"/>
          <w:numId w:val="5"/>
        </w:numPr>
        <w:spacing w:after="60" w:line="264"/>
      </w:pPr>
      <w:r>
        <w:t xml:space="preserve">Les tableaux sont archivés : ils documentent la veille.</w:t>
      </w:r>
    </w:p>
    <w:p>
      <w:pPr>
        <w:spacing w:after="80" w:before="60"/>
      </w:pPr>
      <w:r>
        <w:rPr>
          <w:b/>
          <w:bCs/>
          <w:color w:val="10213A"/>
        </w:rPr>
        <w:t xml:space="preserve">Par outil. </w:t>
      </w:r>
      <w:r>
        <w:t xml:space="preserve">Nécessite la recherche web ou un connecteur autorisé par la DSI : Copilot avec accès web, ChatGPT avec recherche et tâches planifiées, Claude avec recherche web, Gemini. Sans accès web autorisé, restez à la fiche 21.</w:t>
      </w:r>
    </w:p>
    <w:p>
      <w:pPr>
        <w:spacing w:after="80"/>
      </w:pPr>
      <w:r>
        <w:rPr>
          <w:b/>
          <w:bCs/>
          <w:color w:val="10213A"/>
        </w:rPr>
        <w:t xml:space="preserve">Fiche associée sur app.nextstart.ai. </w:t>
      </w:r>
      <w:r>
        <w:t xml:space="preserve">« Vigie réglementaire ».</w:t>
      </w:r>
    </w:p>
    <w:p>
      <w:pPr>
        <w:pStyle w:val="Heading3"/>
        <w:pageBreakBefore/>
      </w:pPr>
      <w:r>
        <w:t xml:space="preserve">Fiche 25  ·  Vigie des délais contractuels et contentieux</w:t>
      </w:r>
    </w:p>
    <w:p>
      <w:pPr>
        <w:spacing w:after="80"/>
      </w:pPr>
      <w:r>
        <w:rPr>
          <w:color w:val="5B6B7B"/>
          <w:sz w:val="17"/>
          <w:szCs w:val="17"/>
        </w:rPr>
        <w:t xml:space="preserve">Niveau 3  ·  Analyse contractuelle  ·  Forme : assistant configuré relié à un tableau  ·  Outils : Copilot avec Excel ou SharePoint, Claude Cowork, ChatGPT avec accès à un tableau  ·  Temps gagné typique : un oubli évité vaut le déploiement</w:t>
      </w:r>
    </w:p>
    <w:p>
      <w:pPr>
        <w:spacing w:after="100" w:line="264"/>
      </w:pPr>
      <w:r>
        <w:rPr>
          <w:b/>
          <w:bCs/>
          <w:color w:val="10213A"/>
        </w:rPr>
        <w:t xml:space="preserve">La situation. </w:t>
      </w:r>
      <w:r>
        <w:t xml:space="preserve">Renouvellements tacites, préavis, échéances de garantie, dates d’audience : les délais sont dispersés dans les contrats et les emails. Un oubli coûte cher.</w:t>
      </w:r>
    </w:p>
    <w:p>
      <w:pPr>
        <w:spacing w:after="100" w:line="264"/>
      </w:pPr>
      <w:r>
        <w:rPr>
          <w:b/>
          <w:bCs/>
          <w:color w:val="10213A"/>
        </w:rPr>
        <w:t xml:space="preserve">Ce que ça change. </w:t>
      </w:r>
      <w:r>
        <w:t xml:space="preserve">L’assistant extrait les délais de chaque document, alimente un tableau unique et rappelle les échéances à soixante, trente et sept jours. Le juriste valide chaque ligne.</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Instructions permanentes, à coller dans la configuration de l’assistant. Remplacez les champs surlignés.</w:t>
            </w:r>
          </w:p>
          <w:p>
            <w:pPr>
              <w:spacing w:after="70" w:line="252"/>
            </w:pPr>
            <w:r>
              <w:rPr>
                <w:sz w:val="19"/>
                <w:szCs w:val="19"/>
              </w:rPr>
              <w:t xml:space="preserve">Tu es l’assistant de suivi des délais de la direction juridique. Quand on te donne un contrat, un avenant, une décision ou une convocation, tu extrais tous les délais et échéances : nature, date ou mode de calcul, point de départ, article ou passage source avec citation, conséquence en cas de dépassement, responsable proposé.</w:t>
            </w:r>
          </w:p>
          <w:p>
            <w:pPr>
              <w:spacing w:after="70" w:line="252"/>
            </w:pPr>
            <w:r>
              <w:rPr>
                <w:sz w:val="19"/>
                <w:szCs w:val="19"/>
              </w:rPr>
              <w:t xml:space="preserve">Tu ajoutes chaque ligne au tableau de suivi partagé </w:t>
            </w:r>
            <w:r>
              <w:rPr>
                <w:sz w:val="19"/>
                <w:szCs w:val="19"/>
                <w:highlight w:val="yellow"/>
              </w:rPr>
              <w:t xml:space="preserve">[emplacement]</w:t>
            </w:r>
            <w:r>
              <w:rPr>
                <w:sz w:val="19"/>
                <w:szCs w:val="19"/>
              </w:rPr>
              <w:t xml:space="preserve"> sans supprimer les lignes existantes. Pour toute date calculée, tu montres le calcul (jours calendaires ou ouvrés, point de départ). Tu signales les délais ambigus au lieu de les fixer.</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Voici </w:t>
            </w:r>
            <w:r>
              <w:rPr>
                <w:sz w:val="19"/>
                <w:szCs w:val="19"/>
                <w:highlight w:val="yellow"/>
              </w:rPr>
              <w:t xml:space="preserve">[document]</w:t>
            </w:r>
            <w:r>
              <w:rPr>
                <w:sz w:val="19"/>
                <w:szCs w:val="19"/>
              </w:rPr>
              <w:t xml:space="preserve">. Extrais les délais et ajoute-les au tableau. Puis liste les échéances des soixante prochains jours.</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Un juriste valide chaque nouvelle ligne, en particulier le point de départ et le mode de décompte.</w:t>
      </w:r>
    </w:p>
    <w:p>
      <w:pPr>
        <w:pStyle w:val="ListParagraph"/>
        <w:numPr>
          <w:ilvl w:val="0"/>
          <w:numId w:val="5"/>
        </w:numPr>
        <w:spacing w:after="60" w:line="264"/>
      </w:pPr>
      <w:r>
        <w:t xml:space="preserve">Les alertes sont des rappels, pas des décisions.</w:t>
      </w:r>
    </w:p>
    <w:p>
      <w:pPr>
        <w:pStyle w:val="ListParagraph"/>
        <w:numPr>
          <w:ilvl w:val="0"/>
          <w:numId w:val="5"/>
        </w:numPr>
        <w:spacing w:after="60" w:line="264"/>
      </w:pPr>
      <w:r>
        <w:t xml:space="preserve">Revue mensuelle du tableau.</w:t>
      </w:r>
    </w:p>
    <w:p>
      <w:pPr>
        <w:pStyle w:val="ListParagraph"/>
        <w:numPr>
          <w:ilvl w:val="0"/>
          <w:numId w:val="5"/>
        </w:numPr>
        <w:spacing w:after="60" w:line="264"/>
      </w:pPr>
      <w:r>
        <w:t xml:space="preserve">Le calendrier de procédure reste tenu par le juriste ou l’avocat : ce tableau ne fonde jamais seul une échéance de procédure.</w:t>
      </w:r>
    </w:p>
    <w:p>
      <w:pPr>
        <w:spacing w:after="80" w:before="60"/>
      </w:pPr>
      <w:r>
        <w:rPr>
          <w:b/>
          <w:bCs/>
          <w:color w:val="10213A"/>
        </w:rPr>
        <w:t xml:space="preserve">Par outil. </w:t>
      </w:r>
      <w:r>
        <w:t xml:space="preserve">Copilot avec un tableau Excel sur SharePoint et des alertes Power Automate ; Claude Cowork ou ChatGPT avec accès à un tableau et des tâches planifiées.</w:t>
      </w:r>
    </w:p>
    <w:p>
      <w:pPr>
        <w:spacing w:after="80"/>
      </w:pPr>
      <w:r>
        <w:rPr>
          <w:b/>
          <w:bCs/>
          <w:color w:val="10213A"/>
        </w:rPr>
        <w:t xml:space="preserve">Fiche associée sur app.nextstart.ai. </w:t>
      </w:r>
      <w:r>
        <w:t xml:space="preserve">« Vigie des délais contractuels et contentieux ».</w:t>
      </w:r>
    </w:p>
    <w:p>
      <w:pPr>
        <w:pStyle w:val="Heading3"/>
        <w:pageBreakBefore/>
      </w:pPr>
      <w:r>
        <w:t xml:space="preserve">Fiche 26  ·  Assistant de premier niveau pour les opérationnels</w:t>
      </w:r>
    </w:p>
    <w:p>
      <w:pPr>
        <w:spacing w:after="80"/>
      </w:pPr>
      <w:r>
        <w:rPr>
          <w:color w:val="5B6B7B"/>
          <w:sz w:val="17"/>
          <w:szCs w:val="17"/>
        </w:rPr>
        <w:t xml:space="preserve">Niveau 3  ·  Communication  ·  Forme : assistant configuré, publié aux non-juristes  ·  Outils : agent Copilot dans Teams, GPT interne, Project partagé, Gem partagé  ·  Temps gagné typique : un quart du temps de réponse aux questions récurrentes</w:t>
      </w:r>
    </w:p>
    <w:p>
      <w:pPr>
        <w:spacing w:after="100" w:line="264"/>
      </w:pPr>
      <w:r>
        <w:rPr>
          <w:b/>
          <w:bCs/>
          <w:color w:val="10213A"/>
        </w:rPr>
        <w:t xml:space="preserve">La situation. </w:t>
      </w:r>
      <w:r>
        <w:t xml:space="preserve">Les mêmes questions arrivent chaque jour : puis-je signer cet accord de confidentialité ? Qui valide un contrat de moins de 10 000 euros ? Puis-je envoyer ce fichier à ce prestataire ? L’équipe y passe un quart de son temps.</w:t>
      </w:r>
    </w:p>
    <w:p>
      <w:pPr>
        <w:spacing w:after="100" w:line="264"/>
      </w:pPr>
      <w:r>
        <w:rPr>
          <w:b/>
          <w:bCs/>
          <w:color w:val="10213A"/>
        </w:rPr>
        <w:t xml:space="preserve">Ce que ça change. </w:t>
      </w:r>
      <w:r>
        <w:t xml:space="preserve">Un assistant répond aux questions couvertes par vos politiques et procédures, cite la source interne, et renvoie au juriste tout ce qui sort du périmètre. Les questions renvoyées nourrissent la FAQ (fiche 7).</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Instructions permanentes, à coller dans la configuration de l’assistant. Remplacez les champs surlignés.</w:t>
            </w:r>
          </w:p>
          <w:p>
            <w:pPr>
              <w:spacing w:after="70" w:line="252"/>
            </w:pPr>
            <w:r>
              <w:rPr>
                <w:sz w:val="19"/>
                <w:szCs w:val="19"/>
              </w:rPr>
              <w:t xml:space="preserve">Tu es l’assistant juridique de premier niveau de </w:t>
            </w:r>
            <w:r>
              <w:rPr>
                <w:sz w:val="19"/>
                <w:szCs w:val="19"/>
                <w:highlight w:val="yellow"/>
              </w:rPr>
              <w:t xml:space="preserve">[organisation]</w:t>
            </w:r>
            <w:r>
              <w:rPr>
                <w:sz w:val="19"/>
                <w:szCs w:val="19"/>
              </w:rPr>
              <w:t xml:space="preserve">, destiné aux collaborateurs non juristes. Tu réponds uniquement à partir des documents fournis : </w:t>
            </w:r>
            <w:r>
              <w:rPr>
                <w:sz w:val="19"/>
                <w:szCs w:val="19"/>
                <w:highlight w:val="yellow"/>
              </w:rPr>
              <w:t xml:space="preserve">[liste : politique de signature, politique cadeaux, procédure accords de confidentialité, charte IA, FAQ juridique]</w:t>
            </w:r>
            <w:r>
              <w:rPr>
                <w:sz w:val="19"/>
                <w:szCs w:val="19"/>
              </w:rPr>
              <w:t xml:space="preserve">.</w:t>
            </w:r>
          </w:p>
          <w:p>
            <w:pPr>
              <w:spacing w:after="70" w:line="252"/>
            </w:pPr>
            <w:r>
              <w:rPr>
                <w:sz w:val="19"/>
                <w:szCs w:val="19"/>
              </w:rPr>
              <w:t xml:space="preserve">Pour chaque réponse : la réponse en cinq lignes maximum, la référence du document et du paragraphe, puis « ce que cette réponse ne couvre pas ».</w:t>
            </w:r>
          </w:p>
          <w:p>
            <w:pPr>
              <w:spacing w:after="70" w:line="252"/>
            </w:pPr>
            <w:r>
              <w:rPr>
                <w:sz w:val="19"/>
                <w:szCs w:val="19"/>
              </w:rPr>
              <w:t xml:space="preserve">Si la question n’est pas couverte par les documents, ou si elle concerne un litige, une personne identifiée, une sanction ou un montant supérieur à </w:t>
            </w:r>
            <w:r>
              <w:rPr>
                <w:sz w:val="19"/>
                <w:szCs w:val="19"/>
                <w:highlight w:val="yellow"/>
              </w:rPr>
              <w:t xml:space="preserve">[seuil]</w:t>
            </w:r>
            <w:r>
              <w:rPr>
                <w:sz w:val="19"/>
                <w:szCs w:val="19"/>
              </w:rPr>
              <w:t xml:space="preserve">, tu réponds : « Cette question relève de la direction juridique : écrivez à </w:t>
            </w:r>
            <w:r>
              <w:rPr>
                <w:sz w:val="19"/>
                <w:szCs w:val="19"/>
                <w:highlight w:val="yellow"/>
              </w:rPr>
              <w:t xml:space="preserve">[adresse]</w:t>
            </w:r>
            <w:r>
              <w:rPr>
                <w:sz w:val="19"/>
                <w:szCs w:val="19"/>
              </w:rPr>
              <w:t xml:space="preserve"> en précisant </w:t>
            </w:r>
            <w:r>
              <w:rPr>
                <w:sz w:val="19"/>
                <w:szCs w:val="19"/>
                <w:highlight w:val="yellow"/>
              </w:rPr>
              <w:t xml:space="preserve">[éléments à fournir]</w:t>
            </w:r>
            <w:r>
              <w:rPr>
                <w:sz w:val="19"/>
                <w:szCs w:val="19"/>
              </w:rPr>
              <w:t xml:space="preserve">. »</w:t>
            </w:r>
          </w:p>
          <w:p>
            <w:pPr>
              <w:spacing w:after="70" w:line="252"/>
            </w:pPr>
            <w:r>
              <w:rPr>
                <w:sz w:val="19"/>
                <w:szCs w:val="19"/>
              </w:rPr>
              <w:t xml:space="preserve">Tu ne donnes jamais d’avis juridique, tu n’interprètes pas un contrat, tu ne réponds pas sur une situation individuelle.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Côté opérationnel : « Puis-je </w:t>
            </w:r>
            <w:r>
              <w:rPr>
                <w:sz w:val="19"/>
                <w:szCs w:val="19"/>
                <w:highlight w:val="yellow"/>
              </w:rPr>
              <w:t xml:space="preserve">[question]</w:t>
            </w:r>
            <w:r>
              <w:rPr>
                <w:sz w:val="19"/>
                <w:szCs w:val="19"/>
              </w:rPr>
              <w:t xml:space="preserve"> ? »</w:t>
            </w:r>
          </w:p>
          <w:p>
            <w:pPr>
              <w:spacing w:after="70" w:line="252"/>
            </w:pPr>
            <w:r>
              <w:rPr>
                <w:sz w:val="19"/>
                <w:szCs w:val="19"/>
              </w:rPr>
              <w:t xml:space="preserve">Côté juriste, avant ouverture : « Voici vingt questions réelles reçues ce mois. Réponds à chacune et indique pour chacune si tu as répondu ou renvoyé, et pourquoi. »</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Test sur vingt questions réelles avant ouverture, puis chaque trimestre.</w:t>
      </w:r>
    </w:p>
    <w:p>
      <w:pPr>
        <w:pStyle w:val="ListParagraph"/>
        <w:numPr>
          <w:ilvl w:val="0"/>
          <w:numId w:val="5"/>
        </w:numPr>
        <w:spacing w:after="60" w:line="264"/>
      </w:pPr>
      <w:r>
        <w:t xml:space="preserve">Journal des questions revu chaque semaine ; ce qui est renvoyé devient une entrée de FAQ ou une précision de politique.</w:t>
      </w:r>
    </w:p>
    <w:p>
      <w:pPr>
        <w:pStyle w:val="ListParagraph"/>
        <w:numPr>
          <w:ilvl w:val="0"/>
          <w:numId w:val="5"/>
        </w:numPr>
        <w:spacing w:after="60" w:line="264"/>
      </w:pPr>
      <w:r>
        <w:t xml:space="preserve">Mention visible : « assistant d’orientation, pas un avis juridique ».</w:t>
      </w:r>
    </w:p>
    <w:p>
      <w:pPr>
        <w:pStyle w:val="ListParagraph"/>
        <w:numPr>
          <w:ilvl w:val="0"/>
          <w:numId w:val="5"/>
        </w:numPr>
        <w:spacing w:after="60" w:line="264"/>
      </w:pPr>
      <w:r>
        <w:t xml:space="preserve">Un propriétaire par document source ; toute mise à jour d’une politique met à jour l’assistant le jour même.</w:t>
      </w:r>
    </w:p>
    <w:p>
      <w:pPr>
        <w:spacing w:after="80" w:before="60"/>
      </w:pPr>
      <w:r>
        <w:rPr>
          <w:b/>
          <w:bCs/>
          <w:color w:val="10213A"/>
        </w:rPr>
        <w:t xml:space="preserve">Par outil. </w:t>
      </w:r>
      <w:r>
        <w:t xml:space="preserve">Agent Copilot publié dans Teams avec SharePoint en source ; GPT interne ; Project Claude partagé ; Gem partagé. Vérifier avec la DSI qui peut interroger l’assistant et ce qui est journalisé.</w:t>
      </w:r>
    </w:p>
    <w:p>
      <w:pPr>
        <w:pStyle w:val="Heading3"/>
        <w:pageBreakBefore/>
      </w:pPr>
      <w:r>
        <w:t xml:space="preserve">Fiche 27  ·  Générateur de trames depuis la base de modèles</w:t>
      </w:r>
    </w:p>
    <w:p>
      <w:pPr>
        <w:spacing w:after="80"/>
      </w:pPr>
      <w:r>
        <w:rPr>
          <w:color w:val="5B6B7B"/>
          <w:sz w:val="17"/>
          <w:szCs w:val="17"/>
        </w:rPr>
        <w:t xml:space="preserve">Niveau 3  ·  Rédaction  ·  Forme : assistant configuré  ·  Outils : agent Copilot avec bibliothèque SharePoint, Project Claude ou ChatGPT avec modèles joints  ·  Temps gagné typique : 30 minutes par trame</w:t>
      </w:r>
    </w:p>
    <w:p>
      <w:pPr>
        <w:spacing w:after="100" w:line="264"/>
      </w:pPr>
      <w:r>
        <w:rPr>
          <w:b/>
          <w:bCs/>
          <w:color w:val="10213A"/>
        </w:rPr>
        <w:t xml:space="preserve">La situation. </w:t>
      </w:r>
      <w:r>
        <w:t xml:space="preserve">Accord de confidentialité, avenant de prolongation, mise en demeure, mandat : les demandes de « trame » arrivent tous les jours. Vos modèles existent, mais chacun les adapte à sa façon.</w:t>
      </w:r>
    </w:p>
    <w:p>
      <w:pPr>
        <w:spacing w:after="100" w:line="264"/>
      </w:pPr>
      <w:r>
        <w:rPr>
          <w:b/>
          <w:bCs/>
          <w:color w:val="10213A"/>
        </w:rPr>
        <w:t xml:space="preserve">Ce que ça change. </w:t>
      </w:r>
      <w:r>
        <w:t xml:space="preserve">L’assistant part uniquement de vos modèles, pose les questions nécessaires, produit la trame avec les champs à compléter surlignés et une liste des adaptations faites. Les clauses ne bougent pas.</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Instructions permanentes, à coller dans la configuration de l’assistant. Remplacez les champs surlignés.</w:t>
            </w:r>
          </w:p>
          <w:p>
            <w:pPr>
              <w:spacing w:after="70" w:line="252"/>
            </w:pPr>
            <w:r>
              <w:rPr>
                <w:sz w:val="19"/>
                <w:szCs w:val="19"/>
              </w:rPr>
              <w:t xml:space="preserve">Tu es le générateur de trames de la direction juridique de </w:t>
            </w:r>
            <w:r>
              <w:rPr>
                <w:sz w:val="19"/>
                <w:szCs w:val="19"/>
                <w:highlight w:val="yellow"/>
              </w:rPr>
              <w:t xml:space="preserve">[organisation]</w:t>
            </w:r>
            <w:r>
              <w:rPr>
                <w:sz w:val="19"/>
                <w:szCs w:val="19"/>
              </w:rPr>
              <w:t xml:space="preserve">. Tu utilises exclusivement les modèles fournis : </w:t>
            </w:r>
            <w:r>
              <w:rPr>
                <w:sz w:val="19"/>
                <w:szCs w:val="19"/>
                <w:highlight w:val="yellow"/>
              </w:rPr>
              <w:t xml:space="preserve">[liste des modèles, avec leur version]</w:t>
            </w:r>
            <w:r>
              <w:rPr>
                <w:sz w:val="19"/>
                <w:szCs w:val="19"/>
              </w:rPr>
              <w:t xml:space="preserve">.</w:t>
            </w:r>
          </w:p>
          <w:p>
            <w:pPr>
              <w:spacing w:after="70" w:line="252"/>
            </w:pPr>
            <w:r>
              <w:rPr>
                <w:sz w:val="19"/>
                <w:szCs w:val="19"/>
              </w:rPr>
              <w:t xml:space="preserve">Quand on te demande un document : (1) tu identifies le modèle adéquat ; si aucun ne convient, tu le dis et tu t’arrêtes ; (2) tu poses les questions nécessaires pour remplir les champs (parties, objet, durée, montants, options) ; (3) tu produis le document à partir du modèle, sans modifier les clauses, en laissant entre crochets et surlignés les champs que tu ne connais pas ; (4) tu listes en fin de document chaque option activée ou clause retirée, avec la raison.</w:t>
            </w:r>
          </w:p>
          <w:p>
            <w:pPr>
              <w:spacing w:after="70" w:line="252"/>
            </w:pPr>
            <w:r>
              <w:rPr>
                <w:sz w:val="19"/>
                <w:szCs w:val="19"/>
              </w:rPr>
              <w:t xml:space="preserve">Tu n’ajoutes jamais une clause qui ne figure pas dans le modèle. Tu termines par : « Trame à relire par un juriste avant envoi. »</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J’ai besoin d’un </w:t>
            </w:r>
            <w:r>
              <w:rPr>
                <w:sz w:val="19"/>
                <w:szCs w:val="19"/>
                <w:highlight w:val="yellow"/>
              </w:rPr>
              <w:t xml:space="preserve">[type de document]</w:t>
            </w:r>
            <w:r>
              <w:rPr>
                <w:sz w:val="19"/>
                <w:szCs w:val="19"/>
              </w:rPr>
              <w:t xml:space="preserve"> entre </w:t>
            </w:r>
            <w:r>
              <w:rPr>
                <w:sz w:val="19"/>
                <w:szCs w:val="19"/>
                <w:highlight w:val="yellow"/>
              </w:rPr>
              <w:t xml:space="preserve">[nous]</w:t>
            </w:r>
            <w:r>
              <w:rPr>
                <w:sz w:val="19"/>
                <w:szCs w:val="19"/>
              </w:rPr>
              <w:t xml:space="preserve"> et </w:t>
            </w:r>
            <w:r>
              <w:rPr>
                <w:sz w:val="19"/>
                <w:szCs w:val="19"/>
                <w:highlight w:val="yellow"/>
              </w:rPr>
              <w:t xml:space="preserve">[contrepartie]</w:t>
            </w:r>
            <w:r>
              <w:rPr>
                <w:sz w:val="19"/>
                <w:szCs w:val="19"/>
              </w:rPr>
              <w:t xml:space="preserve"> pour </w:t>
            </w:r>
            <w:r>
              <w:rPr>
                <w:sz w:val="19"/>
                <w:szCs w:val="19"/>
                <w:highlight w:val="yellow"/>
              </w:rPr>
              <w:t xml:space="preserve">[objet]</w:t>
            </w:r>
            <w:r>
              <w:rPr>
                <w:sz w:val="19"/>
                <w:szCs w:val="19"/>
              </w:rPr>
              <w:t xml:space="preserve">. Pose-moi tes questions.</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Modèles versionnés et datés, un propriétaire par modèle.</w:t>
      </w:r>
    </w:p>
    <w:p>
      <w:pPr>
        <w:pStyle w:val="ListParagraph"/>
        <w:numPr>
          <w:ilvl w:val="0"/>
          <w:numId w:val="5"/>
        </w:numPr>
        <w:spacing w:after="60" w:line="264"/>
      </w:pPr>
      <w:r>
        <w:t xml:space="preserve">L’assistant n’envoie rien et ne signe rien.</w:t>
      </w:r>
    </w:p>
    <w:p>
      <w:pPr>
        <w:pStyle w:val="ListParagraph"/>
        <w:numPr>
          <w:ilvl w:val="0"/>
          <w:numId w:val="5"/>
        </w:numPr>
        <w:spacing w:after="60" w:line="264"/>
      </w:pPr>
      <w:r>
        <w:t xml:space="preserve">Contrôle mensuel d’un échantillon de trames produites.</w:t>
      </w:r>
    </w:p>
    <w:p>
      <w:pPr>
        <w:pStyle w:val="ListParagraph"/>
        <w:numPr>
          <w:ilvl w:val="0"/>
          <w:numId w:val="5"/>
        </w:numPr>
        <w:spacing w:after="60" w:line="264"/>
      </w:pPr>
      <w:r>
        <w:t xml:space="preserve">Les opérationnels n’accèdent qu’aux modèles autorisés en libre-service (accord de confidentialité standard, par exemple).</w:t>
      </w:r>
    </w:p>
    <w:p>
      <w:pPr>
        <w:spacing w:after="80" w:before="60"/>
      </w:pPr>
      <w:r>
        <w:rPr>
          <w:b/>
          <w:bCs/>
          <w:color w:val="10213A"/>
        </w:rPr>
        <w:t xml:space="preserve">Par outil. </w:t>
      </w:r>
      <w:r>
        <w:t xml:space="preserve">Agent Copilot avec la bibliothèque de modèles sur SharePoint, sortie en Word ; Project Claude ou ChatGPT avec les modèles joints.</w:t>
      </w:r>
    </w:p>
    <w:p>
      <w:pPr>
        <w:pStyle w:val="Heading3"/>
        <w:pageBreakBefore/>
      </w:pPr>
      <w:r>
        <w:t xml:space="preserve">Fiche 28  ·  Orchestrer une revue contractuelle de bout en bout</w:t>
      </w:r>
    </w:p>
    <w:p>
      <w:pPr>
        <w:spacing w:after="80"/>
      </w:pPr>
      <w:r>
        <w:rPr>
          <w:color w:val="5B6B7B"/>
          <w:sz w:val="17"/>
          <w:szCs w:val="17"/>
        </w:rPr>
        <w:t xml:space="preserve">Niveau 3  ·  Analyse contractuelle  ·  Forme : agent de mission dans vos fichiers  ·  Outils : Claude Cowork, Copilot Cowork, ChatGPT en mode agent, sur l’espace validé par la DSI  ·  Temps gagné typique : une demi-journée par contrat complexe</w:t>
      </w:r>
    </w:p>
    <w:p>
      <w:pPr>
        <w:spacing w:after="100" w:line="264"/>
      </w:pPr>
      <w:r>
        <w:rPr>
          <w:b/>
          <w:bCs/>
          <w:color w:val="10213A"/>
        </w:rPr>
        <w:t xml:space="preserve">La situation. </w:t>
      </w:r>
      <w:r>
        <w:t xml:space="preserve">Un contrat de quatre-vingts pages avec six annexes. La revue complète (fiche d’identité, comparaison au playbook, redline, note de synthèse) prend une journée.</w:t>
      </w:r>
    </w:p>
    <w:p>
      <w:pPr>
        <w:spacing w:after="100" w:line="264"/>
      </w:pPr>
      <w:r>
        <w:rPr>
          <w:b/>
          <w:bCs/>
          <w:color w:val="10213A"/>
        </w:rPr>
        <w:t xml:space="preserve">Ce que ça change. </w:t>
      </w:r>
      <w:r>
        <w:t xml:space="preserve">Vous déléguez la chaîne complète à un agent qui travaille dans vos fichiers, étape par étape, et vous revenez sur chaque livrable avant de lancer le suivant.</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Ordre de mission, à coller dans l’agent. Remplacez les champs surlignés.</w:t>
            </w:r>
          </w:p>
          <w:p>
            <w:pPr>
              <w:spacing w:after="70" w:line="252"/>
            </w:pPr>
            <w:r>
              <w:rPr>
                <w:b/>
                <w:bCs/>
                <w:color w:val="1D659C"/>
                <w:sz w:val="19"/>
                <w:szCs w:val="19"/>
              </w:rPr>
              <w:t xml:space="preserve">Mission : </w:t>
            </w:r>
            <w:r>
              <w:rPr>
                <w:sz w:val="19"/>
                <w:szCs w:val="19"/>
              </w:rPr>
              <w:t xml:space="preserve">revue du contrat </w:t>
            </w:r>
            <w:r>
              <w:rPr>
                <w:sz w:val="19"/>
                <w:szCs w:val="19"/>
                <w:highlight w:val="yellow"/>
              </w:rPr>
              <w:t xml:space="preserve">[nom du fichier]</w:t>
            </w:r>
            <w:r>
              <w:rPr>
                <w:sz w:val="19"/>
                <w:szCs w:val="19"/>
              </w:rPr>
              <w:t xml:space="preserve"> avec le playbook </w:t>
            </w:r>
            <w:r>
              <w:rPr>
                <w:sz w:val="19"/>
                <w:szCs w:val="19"/>
                <w:highlight w:val="yellow"/>
              </w:rPr>
              <w:t xml:space="preserve">[fichier]</w:t>
            </w:r>
            <w:r>
              <w:rPr>
                <w:sz w:val="19"/>
                <w:szCs w:val="19"/>
              </w:rPr>
              <w:t xml:space="preserve"> et notre modèle de note </w:t>
            </w:r>
            <w:r>
              <w:rPr>
                <w:sz w:val="19"/>
                <w:szCs w:val="19"/>
                <w:highlight w:val="yellow"/>
              </w:rPr>
              <w:t xml:space="preserve">[fichier]</w:t>
            </w:r>
            <w:r>
              <w:rPr>
                <w:sz w:val="19"/>
                <w:szCs w:val="19"/>
              </w:rPr>
              <w:t xml:space="preserve">.</w:t>
            </w:r>
          </w:p>
          <w:p>
            <w:pPr>
              <w:spacing w:after="70" w:line="252"/>
            </w:pPr>
            <w:r>
              <w:rPr>
                <w:b/>
                <w:bCs/>
                <w:color w:val="1D659C"/>
                <w:sz w:val="19"/>
                <w:szCs w:val="19"/>
              </w:rPr>
              <w:t xml:space="preserve">Étape 1 : </w:t>
            </w:r>
            <w:r>
              <w:rPr>
                <w:sz w:val="19"/>
                <w:szCs w:val="19"/>
              </w:rPr>
              <w:t xml:space="preserve">produis la fiche d’identité du contrat (clauses clés, tableau, citations) dans le fichier « 1-fiche.docx ».</w:t>
            </w:r>
          </w:p>
          <w:p>
            <w:pPr>
              <w:spacing w:after="70" w:line="252"/>
            </w:pPr>
            <w:r>
              <w:rPr>
                <w:b/>
                <w:bCs/>
                <w:color w:val="1D659C"/>
                <w:sz w:val="19"/>
                <w:szCs w:val="19"/>
              </w:rPr>
              <w:t xml:space="preserve">Étape 2 : </w:t>
            </w:r>
            <w:r>
              <w:rPr>
                <w:sz w:val="19"/>
                <w:szCs w:val="19"/>
              </w:rPr>
              <w:t xml:space="preserve">compare au playbook selon la grille de 1 à 5 et produis « 2-ecarts.xlsx ».</w:t>
            </w:r>
          </w:p>
          <w:p>
            <w:pPr>
              <w:spacing w:after="70" w:line="252"/>
            </w:pPr>
            <w:r>
              <w:rPr>
                <w:b/>
                <w:bCs/>
                <w:color w:val="1D659C"/>
                <w:sz w:val="19"/>
                <w:szCs w:val="19"/>
              </w:rPr>
              <w:t xml:space="preserve">Étape 3 : </w:t>
            </w:r>
            <w:r>
              <w:rPr>
                <w:sz w:val="19"/>
                <w:szCs w:val="19"/>
              </w:rPr>
              <w:t xml:space="preserve">prépare une version du contrat avec nos propositions de reformulation en suivi de modifications, « 3-redline.docx », uniquement pour les statuts 3 et 4.</w:t>
            </w:r>
          </w:p>
          <w:p>
            <w:pPr>
              <w:spacing w:after="70" w:line="252"/>
            </w:pPr>
            <w:r>
              <w:rPr>
                <w:b/>
                <w:bCs/>
                <w:color w:val="1D659C"/>
                <w:sz w:val="19"/>
                <w:szCs w:val="19"/>
              </w:rPr>
              <w:t xml:space="preserve">Étape 4 : </w:t>
            </w:r>
            <w:r>
              <w:rPr>
                <w:sz w:val="19"/>
                <w:szCs w:val="19"/>
              </w:rPr>
              <w:t xml:space="preserve">rédige la note de synthèse d’une page selon notre modèle, « 4-note.docx ».</w:t>
            </w:r>
          </w:p>
          <w:p>
            <w:pPr>
              <w:spacing w:after="70" w:line="252"/>
            </w:pPr>
            <w:r>
              <w:rPr>
                <w:b/>
                <w:bCs/>
                <w:color w:val="1D659C"/>
                <w:sz w:val="19"/>
                <w:szCs w:val="19"/>
              </w:rPr>
              <w:t xml:space="preserve">Règles : </w:t>
            </w:r>
            <w:r>
              <w:rPr>
                <w:sz w:val="19"/>
                <w:szCs w:val="19"/>
              </w:rPr>
              <w:t xml:space="preserve">arrête-toi après chaque étape et attends ma validation avant la suivante. N’invente aucune clause ; cite toujours le texte source. Signale ce que tu n’as pas pu lire (annexes scannées, tableaux illisibles).</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Lance l’étape 1.</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Validation humaine entre chaque étape : c’est la condition posée par la quasi-totalité des équipes qui déploient des agents.</w:t>
      </w:r>
    </w:p>
    <w:p>
      <w:pPr>
        <w:pStyle w:val="ListParagraph"/>
        <w:numPr>
          <w:ilvl w:val="0"/>
          <w:numId w:val="5"/>
        </w:numPr>
        <w:spacing w:after="60" w:line="264"/>
      </w:pPr>
      <w:r>
        <w:t xml:space="preserve">Les fichiers restent dans un espace validé par la DSI ; rien ne transite par un compte personnel.</w:t>
      </w:r>
    </w:p>
    <w:p>
      <w:pPr>
        <w:pStyle w:val="ListParagraph"/>
        <w:numPr>
          <w:ilvl w:val="0"/>
          <w:numId w:val="5"/>
        </w:numPr>
        <w:spacing w:after="60" w:line="264"/>
      </w:pPr>
      <w:r>
        <w:t xml:space="preserve">La comparaison de Word s’ajoute au redline produit par l’agent.</w:t>
      </w:r>
    </w:p>
    <w:p>
      <w:pPr>
        <w:pStyle w:val="ListParagraph"/>
        <w:numPr>
          <w:ilvl w:val="0"/>
          <w:numId w:val="5"/>
        </w:numPr>
        <w:spacing w:after="60" w:line="264"/>
      </w:pPr>
      <w:r>
        <w:t xml:space="preserve">La note finale est réécrite par le juriste ; elle ne part jamais telle quelle.</w:t>
      </w:r>
    </w:p>
    <w:p>
      <w:pPr>
        <w:spacing w:after="80" w:before="60"/>
      </w:pPr>
      <w:r>
        <w:rPr>
          <w:b/>
          <w:bCs/>
          <w:color w:val="10213A"/>
        </w:rPr>
        <w:t xml:space="preserve">Par outil. </w:t>
      </w:r>
      <w:r>
        <w:t xml:space="preserve">Claude Cowork, Copilot Cowork ou ChatGPT en mode agent, sur le tenant ou l’espace validé par votre DSI.</w:t>
      </w:r>
    </w:p>
    <w:p>
      <w:pPr>
        <w:spacing w:after="80"/>
      </w:pPr>
      <w:r>
        <w:rPr>
          <w:b/>
          <w:bCs/>
          <w:color w:val="10213A"/>
        </w:rPr>
        <w:t xml:space="preserve">Fiche associée sur app.nextstart.ai. </w:t>
      </w:r>
      <w:r>
        <w:t xml:space="preserve">« Orchestrer une revue contractuelle ».</w:t>
      </w:r>
    </w:p>
    <w:p>
      <w:pPr>
        <w:pStyle w:val="Heading3"/>
        <w:pageBreakBefore/>
      </w:pPr>
      <w:r>
        <w:t xml:space="preserve">Fiche 29  ·  Analyse en masse d’un portefeuille de contrats</w:t>
      </w:r>
    </w:p>
    <w:p>
      <w:pPr>
        <w:spacing w:after="80"/>
      </w:pPr>
      <w:r>
        <w:rPr>
          <w:color w:val="5B6B7B"/>
          <w:sz w:val="17"/>
          <w:szCs w:val="17"/>
        </w:rPr>
        <w:t xml:space="preserve">Niveau 3  ·  Comparaison  ·  Forme : agent de mission dans vos fichiers  ·  Outils : Cowork ou agent avec accès aux fichiers (SharePoint, Drive)  ·  Temps gagné typique : de plusieurs jours à quelques heures</w:t>
      </w:r>
    </w:p>
    <w:p>
      <w:pPr>
        <w:spacing w:after="100" w:line="264"/>
      </w:pPr>
      <w:r>
        <w:rPr>
          <w:b/>
          <w:bCs/>
          <w:color w:val="10213A"/>
        </w:rPr>
        <w:t xml:space="preserve">La situation. </w:t>
      </w:r>
      <w:r>
        <w:t xml:space="preserve">Changement de contrôle, hausse de l’indexation, nouvelle exigence réglementaire : il faut savoir, dans cinquante ou cinq cents contrats, lesquels contiennent telle clause et ce qu’elle dit.</w:t>
      </w:r>
    </w:p>
    <w:p>
      <w:pPr>
        <w:spacing w:after="100" w:line="264"/>
      </w:pPr>
      <w:r>
        <w:rPr>
          <w:b/>
          <w:bCs/>
          <w:color w:val="10213A"/>
        </w:rPr>
        <w:t xml:space="preserve">Ce que ça change. </w:t>
      </w:r>
      <w:r>
        <w:t xml:space="preserve">L’agent parcourt le portefeuille, extrait la clause visée pour chaque contrat avec sa citation, produit un tableau de suivi et une liste des contrats à traiter en priorité. Le juriste contrôle un échantillon et traite.</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Ordre de mission, à coller dans l’agent. Remplacez les champs surlignés.</w:t>
            </w:r>
          </w:p>
          <w:p>
            <w:pPr>
              <w:spacing w:after="70" w:line="252"/>
            </w:pPr>
            <w:r>
              <w:rPr>
                <w:b/>
                <w:bCs/>
                <w:color w:val="1D659C"/>
                <w:sz w:val="19"/>
                <w:szCs w:val="19"/>
              </w:rPr>
              <w:t xml:space="preserve">Mission : </w:t>
            </w:r>
            <w:r>
              <w:rPr>
                <w:sz w:val="19"/>
                <w:szCs w:val="19"/>
              </w:rPr>
              <w:t xml:space="preserve">dans le dossier </w:t>
            </w:r>
            <w:r>
              <w:rPr>
                <w:sz w:val="19"/>
                <w:szCs w:val="19"/>
                <w:highlight w:val="yellow"/>
              </w:rPr>
              <w:t xml:space="preserve">[emplacement]</w:t>
            </w:r>
            <w:r>
              <w:rPr>
                <w:sz w:val="19"/>
                <w:szCs w:val="19"/>
              </w:rPr>
              <w:t xml:space="preserve">, pour chaque contrat : (1) identifie les parties, la date et le type ; (2) recherche la clause de </w:t>
            </w:r>
            <w:r>
              <w:rPr>
                <w:sz w:val="19"/>
                <w:szCs w:val="19"/>
                <w:highlight w:val="yellow"/>
              </w:rPr>
              <w:t xml:space="preserve">[objet, par exemple changement de contrôle]</w:t>
            </w:r>
            <w:r>
              <w:rPr>
                <w:sz w:val="19"/>
                <w:szCs w:val="19"/>
              </w:rPr>
              <w:t xml:space="preserve"> et ses variantes de formulation </w:t>
            </w:r>
            <w:r>
              <w:rPr>
                <w:sz w:val="19"/>
                <w:szCs w:val="19"/>
                <w:highlight w:val="yellow"/>
              </w:rPr>
              <w:t xml:space="preserve">[synonymes possibles]</w:t>
            </w:r>
            <w:r>
              <w:rPr>
                <w:sz w:val="19"/>
                <w:szCs w:val="19"/>
              </w:rPr>
              <w:t xml:space="preserve"> ; (3) cite le passage exact, indique l’article, résume le mécanisme (déclencheur, délai, conséquence) ; (4) écris « absente » si tu ne la trouves pas et « à vérifier » si le document est mal lisible.</w:t>
            </w:r>
          </w:p>
          <w:p>
            <w:pPr>
              <w:spacing w:after="70" w:line="252"/>
            </w:pPr>
            <w:r>
              <w:rPr>
                <w:sz w:val="19"/>
                <w:szCs w:val="19"/>
              </w:rPr>
              <w:t xml:space="preserve">Produis « portefeuille-</w:t>
            </w:r>
            <w:r>
              <w:rPr>
                <w:sz w:val="19"/>
                <w:szCs w:val="19"/>
                <w:highlight w:val="yellow"/>
              </w:rPr>
              <w:t xml:space="preserve">[objet]</w:t>
            </w:r>
            <w:r>
              <w:rPr>
                <w:sz w:val="19"/>
                <w:szCs w:val="19"/>
              </w:rPr>
              <w:t xml:space="preserve">.xlsx » avec une ligne par contrat et une colonne « priorité » calculée selon </w:t>
            </w:r>
            <w:r>
              <w:rPr>
                <w:sz w:val="19"/>
                <w:szCs w:val="19"/>
                <w:highlight w:val="yellow"/>
              </w:rPr>
              <w:t xml:space="preserve">[critère : montant, échéance, criticité]</w:t>
            </w:r>
            <w:r>
              <w:rPr>
                <w:sz w:val="19"/>
                <w:szCs w:val="19"/>
              </w:rPr>
              <w:t xml:space="preserve">.</w:t>
            </w:r>
          </w:p>
          <w:p>
            <w:pPr>
              <w:spacing w:after="70" w:line="252"/>
            </w:pPr>
            <w:r>
              <w:rPr>
                <w:b/>
                <w:bCs/>
                <w:color w:val="1D659C"/>
                <w:sz w:val="19"/>
                <w:szCs w:val="19"/>
              </w:rPr>
              <w:t xml:space="preserve">Règles : </w:t>
            </w:r>
            <w:r>
              <w:rPr>
                <w:sz w:val="19"/>
                <w:szCs w:val="19"/>
              </w:rPr>
              <w:t xml:space="preserve">ne tire aucune conclusion juridique ; ne modifie aucun fichier source ; signale les documents que tu n’as pas pu ouvrir.</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Lance l’analyse sur les vingt premiers contrats, montre-moi le tableau, puis attends.</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Échantillon de contrôle : relire à la main 10 % des lignes, dont toutes les « absentes » sur les contrats critiques.</w:t>
      </w:r>
    </w:p>
    <w:p>
      <w:pPr>
        <w:pStyle w:val="ListParagraph"/>
        <w:numPr>
          <w:ilvl w:val="0"/>
          <w:numId w:val="5"/>
        </w:numPr>
        <w:spacing w:after="60" w:line="264"/>
      </w:pPr>
      <w:r>
        <w:t xml:space="preserve">Traitement uniquement dans l’espace validé ; jamais d’export de contrats vers un outil grand public.</w:t>
      </w:r>
    </w:p>
    <w:p>
      <w:pPr>
        <w:pStyle w:val="ListParagraph"/>
        <w:numPr>
          <w:ilvl w:val="0"/>
          <w:numId w:val="5"/>
        </w:numPr>
        <w:spacing w:after="60" w:line="264"/>
      </w:pPr>
      <w:r>
        <w:t xml:space="preserve">Le tableau est un instrument de tri, pas un audit juridique.</w:t>
      </w:r>
    </w:p>
    <w:p>
      <w:pPr>
        <w:pStyle w:val="ListParagraph"/>
        <w:numPr>
          <w:ilvl w:val="0"/>
          <w:numId w:val="5"/>
        </w:numPr>
        <w:spacing w:after="60" w:line="264"/>
      </w:pPr>
      <w:r>
        <w:t xml:space="preserve">Pour de très gros volumes, poser à la DSI la question d’un outil de gestion du cycle de vie des contrats doté d’IA.</w:t>
      </w:r>
    </w:p>
    <w:p>
      <w:pPr>
        <w:spacing w:after="80" w:before="60"/>
      </w:pPr>
      <w:r>
        <w:rPr>
          <w:b/>
          <w:bCs/>
          <w:color w:val="10213A"/>
        </w:rPr>
        <w:t xml:space="preserve">Par outil. </w:t>
      </w:r>
      <w:r>
        <w:t xml:space="preserve">Claude Cowork, Copilot Cowork ou agent avec accès aux fichiers de l’organisation.</w:t>
      </w:r>
    </w:p>
    <w:p>
      <w:pPr>
        <w:pStyle w:val="Heading3"/>
        <w:pageBreakBefore/>
      </w:pPr>
      <w:r>
        <w:t xml:space="preserve">Fiche 30  ·  Préparer un dossier contentieux à partir d’un corpus</w:t>
      </w:r>
    </w:p>
    <w:p>
      <w:pPr>
        <w:spacing w:after="80"/>
      </w:pPr>
      <w:r>
        <w:rPr>
          <w:color w:val="5B6B7B"/>
          <w:sz w:val="17"/>
          <w:szCs w:val="17"/>
        </w:rPr>
        <w:t xml:space="preserve">Niveau 3  ·  Risques et conformité  ·  Forme : agent de mission dans un espace cloisonné  ·  Outils : Cowork ou agent avec accès aux fichiers, espace validé par la DSI et le cabinet  ·  Temps gagné typique : plusieurs jours de dépouillement</w:t>
      </w:r>
    </w:p>
    <w:p>
      <w:pPr>
        <w:spacing w:after="100" w:line="264"/>
      </w:pPr>
      <w:r>
        <w:rPr>
          <w:b/>
          <w:bCs/>
          <w:color w:val="10213A"/>
        </w:rPr>
        <w:t xml:space="preserve">La situation. </w:t>
      </w:r>
      <w:r>
        <w:t xml:space="preserve">Un contentieux s’ouvre : trois cents pièces (emails, courriers, procès-verbaux, factures). L’avocat a besoin d’une chronologie, d’un inventaire et des faits saillants dans deux semaines.</w:t>
      </w:r>
    </w:p>
    <w:p>
      <w:pPr>
        <w:spacing w:after="100" w:line="264"/>
      </w:pPr>
      <w:r>
        <w:rPr>
          <w:b/>
          <w:bCs/>
          <w:color w:val="10213A"/>
        </w:rPr>
        <w:t xml:space="preserve">Ce que ça change. </w:t>
      </w:r>
      <w:r>
        <w:t xml:space="preserve">L’agent construit l’inventaire et la chronologie à partir des pièces, relie chaque fait à sa pièce, repère les contradictions. Vous et l’avocat construisez la stratégie, qui reste hors de l’outil.</w:t>
      </w:r>
    </w:p>
    <w:p>
      <w:pPr>
        <w:spacing w:after="4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D659C"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Ordre de mission, à coller dans l’agent. Remplacez les champs surlignés.</w:t>
            </w:r>
          </w:p>
          <w:p>
            <w:pPr>
              <w:spacing w:after="70" w:line="252"/>
            </w:pPr>
            <w:r>
              <w:rPr>
                <w:b/>
                <w:bCs/>
                <w:color w:val="1D659C"/>
                <w:sz w:val="19"/>
                <w:szCs w:val="19"/>
              </w:rPr>
              <w:t xml:space="preserve">Mission : </w:t>
            </w:r>
            <w:r>
              <w:rPr>
                <w:sz w:val="19"/>
                <w:szCs w:val="19"/>
              </w:rPr>
              <w:t xml:space="preserve">à partir des pièces du dossier </w:t>
            </w:r>
            <w:r>
              <w:rPr>
                <w:sz w:val="19"/>
                <w:szCs w:val="19"/>
                <w:highlight w:val="yellow"/>
              </w:rPr>
              <w:t xml:space="preserve">[emplacement]</w:t>
            </w:r>
            <w:r>
              <w:rPr>
                <w:sz w:val="19"/>
                <w:szCs w:val="19"/>
              </w:rPr>
              <w:t xml:space="preserve"> : (1) inventaire numéroté : nature, date, auteur, destinataire, résumé en une ligne ; (2) chronologie des faits, chaque fait relié à une ou plusieurs pièces par leur numéro, sans qualification juridique ; (3) liste des contradictions entre pièces ; (4) liste des pièces mentionnées mais absentes du dossier.</w:t>
            </w:r>
          </w:p>
          <w:p>
            <w:pPr>
              <w:spacing w:after="70" w:line="252"/>
            </w:pPr>
            <w:r>
              <w:rPr>
                <w:sz w:val="19"/>
                <w:szCs w:val="19"/>
              </w:rPr>
              <w:t xml:space="preserve">Produis « inventaire.xlsx » et « chronologie.docx ».</w:t>
            </w:r>
          </w:p>
          <w:p>
            <w:pPr>
              <w:spacing w:after="70" w:line="252"/>
            </w:pPr>
            <w:r>
              <w:rPr>
                <w:b/>
                <w:bCs/>
                <w:color w:val="1D659C"/>
                <w:sz w:val="19"/>
                <w:szCs w:val="19"/>
              </w:rPr>
              <w:t xml:space="preserve">Règles : </w:t>
            </w:r>
            <w:r>
              <w:rPr>
                <w:sz w:val="19"/>
                <w:szCs w:val="19"/>
              </w:rPr>
              <w:t xml:space="preserve">n’apprécie jamais la force d’un argument, ne propose aucune stratégie, ne modifie aucune pièce.</w:t>
            </w:r>
          </w:p>
        </w:tc>
      </w:tr>
    </w:tbl>
    <w:p>
      <w:pPr>
        <w:spacing w:after="80"/>
      </w:pPr>
    </w:p>
    <w:tbl>
      <w:tblPr>
        <w:tblW w:type="dxa" w:w="9600"/>
        <w:tblBorders>
          <w:top w:val="none" w:color="FFFFFF" w:sz="0"/>
          <w:left w:val="none" w:color="FFFFFF" w:sz="0"/>
          <w:bottom w:val="none" w:color="FFFFFF" w:sz="0"/>
          <w:right w:val="none" w:color="FFFFFF" w:sz="0"/>
          <w:insideH w:val="single" w:color="auto" w:sz="4"/>
          <w:insideV w:val="single" w:color="auto" w:sz="4"/>
        </w:tblBorders>
      </w:tblPr>
      <w:tblGrid>
        <w:gridCol w:w="9600"/>
      </w:tblGrid>
      <w:tr>
        <w:trPr>
          <w:cantSplit w:val="false"/>
        </w:trPr>
        <w:tc>
          <w:tcPr>
            <w:tcW w:type="dxa" w:w="9600"/>
            <w:tcBorders>
              <w:top w:val="single" w:color="F2F6FA" w:sz="2"/>
              <w:left w:val="single" w:color="10213A" w:sz="24"/>
              <w:bottom w:val="single" w:color="F2F6FA" w:sz="2"/>
              <w:right w:val="single" w:color="F2F6FA" w:sz="2"/>
            </w:tcBorders>
            <w:shd w:fill="F2F6FA" w:color="auto" w:val="clear"/>
            <w:tcMar>
              <w:top w:type="dxa" w:w="110"/>
              <w:left w:type="dxa" w:w="160"/>
              <w:bottom w:type="dxa" w:w="90"/>
              <w:right w:type="dxa" w:w="160"/>
            </w:tcMar>
          </w:tcPr>
          <w:p>
            <w:pPr>
              <w:spacing w:after="80"/>
            </w:pPr>
            <w:r>
              <w:rPr>
                <w:b/>
                <w:bCs/>
                <w:color w:val="10213A"/>
                <w:sz w:val="19"/>
                <w:szCs w:val="19"/>
              </w:rPr>
              <w:t xml:space="preserve">Prompt de lancement</w:t>
            </w:r>
          </w:p>
          <w:p>
            <w:pPr>
              <w:spacing w:after="70" w:line="252"/>
            </w:pPr>
            <w:r>
              <w:rPr>
                <w:sz w:val="19"/>
                <w:szCs w:val="19"/>
              </w:rPr>
              <w:t xml:space="preserve">Commence par l’inventaire et montre-moi les trente premières lignes.</w:t>
            </w:r>
          </w:p>
        </w:tc>
      </w:tr>
    </w:tbl>
    <w:p>
      <w:pPr>
        <w:spacing w:after="60"/>
      </w:pPr>
    </w:p>
    <w:p>
      <w:pPr>
        <w:keepNext/>
        <w:spacing w:after="60"/>
      </w:pPr>
      <w:r>
        <w:rPr>
          <w:b/>
          <w:bCs/>
          <w:color w:val="10213A"/>
        </w:rPr>
        <w:t xml:space="preserve">Règles de supervision : ce que l’assistant ne fait jamais seul</w:t>
      </w:r>
    </w:p>
    <w:p>
      <w:pPr>
        <w:pStyle w:val="ListParagraph"/>
        <w:numPr>
          <w:ilvl w:val="0"/>
          <w:numId w:val="5"/>
        </w:numPr>
        <w:spacing w:after="60" w:line="264"/>
      </w:pPr>
      <w:r>
        <w:t xml:space="preserve">Outil et espace validés par la DSI et par l’avocat : confidentialité de la stratégie et secret professionnel.</w:t>
      </w:r>
    </w:p>
    <w:p>
      <w:pPr>
        <w:pStyle w:val="ListParagraph"/>
        <w:numPr>
          <w:ilvl w:val="0"/>
          <w:numId w:val="5"/>
        </w:numPr>
        <w:spacing w:after="60" w:line="264"/>
      </w:pPr>
      <w:r>
        <w:t xml:space="preserve">Les pièces contenant des données personnelles ou sensibles sont traitées selon la politique interne, ou écartées.</w:t>
      </w:r>
    </w:p>
    <w:p>
      <w:pPr>
        <w:pStyle w:val="ListParagraph"/>
        <w:numPr>
          <w:ilvl w:val="0"/>
          <w:numId w:val="5"/>
        </w:numPr>
        <w:spacing w:after="60" w:line="264"/>
      </w:pPr>
      <w:r>
        <w:t xml:space="preserve">Chaque fait de la chronologie est vérifié dans la pièce avant transmission à l’avocat.</w:t>
      </w:r>
    </w:p>
    <w:p>
      <w:pPr>
        <w:pStyle w:val="ListParagraph"/>
        <w:numPr>
          <w:ilvl w:val="0"/>
          <w:numId w:val="5"/>
        </w:numPr>
        <w:spacing w:after="60" w:line="264"/>
      </w:pPr>
      <w:r>
        <w:t xml:space="preserve">La stratégie reste humaine et hors de l’outil.</w:t>
      </w:r>
    </w:p>
    <w:p>
      <w:pPr>
        <w:spacing w:after="80" w:before="60"/>
      </w:pPr>
      <w:r>
        <w:rPr>
          <w:b/>
          <w:bCs/>
          <w:color w:val="10213A"/>
        </w:rPr>
        <w:t xml:space="preserve">Par outil. </w:t>
      </w:r>
      <w:r>
        <w:t xml:space="preserve">Cowork ou agent avec accès aux fichiers, dans un espace cloisonné ; pour un volume très important, discuter avec le cabinet d’un outil dédié de traitement des pièces.</w:t>
      </w:r>
    </w:p>
    <w:p>
      <w:pPr>
        <w:pStyle w:val="Heading1"/>
        <w:pageBreakBefore/>
      </w:pPr>
      <w:r>
        <w:t xml:space="preserve">Partie 4. Déployer le kit dans l’équipe</w:t>
      </w:r>
    </w:p>
    <w:p>
      <w:pPr>
        <w:spacing w:after="100" w:line="264"/>
      </w:pPr>
      <w:r>
        <w:t xml:space="preserve">Cette partie s’adresse au directeur juridique, au responsable conformité ou au responsable des opérations juridiques qui veut faire du kit un parcours d’équipe plutôt qu’une lecture individuelle. Les organisations qui ont une stratégie IA nommée et visible sont trois fois plus nombreuses à juger que l’IA répond aux attentes (66 % contre 22 %, Thomson Reuters 2026). À l’échelle d’une direction juridique, la stratégie tient en quatre décisions : un rythme, un rituel, un lieu de partage, une mesure.</w:t>
      </w:r>
    </w:p>
    <w:p>
      <w:pPr>
        <w:pStyle w:val="Heading2"/>
      </w:pPr>
      <w:r>
        <w:t xml:space="preserve">4.1 Le parcours de six semaines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1400"/>
        <w:gridCol w:w="2600"/>
        <w:gridCol w:w="5600"/>
      </w:tblGrid>
      <w:tr>
        <w:trPr>
          <w:cantSplit/>
          <w:tblHeader/>
        </w:trPr>
        <w:tc>
          <w:tcPr>
            <w:tcW w:type="dxa" w:w="1400"/>
            <w:shd w:fill="10213A" w:color="auto" w:val="clear"/>
            <w:tcMar>
              <w:top w:type="dxa" w:w="20"/>
              <w:left w:type="dxa" w:w="110"/>
              <w:bottom w:type="dxa" w:w="20"/>
              <w:right w:type="dxa" w:w="110"/>
            </w:tcMar>
          </w:tcPr>
          <w:p>
            <w:pPr>
              <w:spacing w:after="40" w:line="252"/>
            </w:pPr>
            <w:r>
              <w:rPr>
                <w:b/>
                <w:bCs/>
                <w:color w:val="FFFFFF"/>
                <w:sz w:val="19"/>
                <w:szCs w:val="19"/>
              </w:rPr>
              <w:t xml:space="preserve">Semaine</w:t>
            </w:r>
          </w:p>
        </w:tc>
        <w:tc>
          <w:tcPr>
            <w:tcW w:type="dxa" w:w="2600"/>
            <w:shd w:fill="10213A" w:color="auto" w:val="clear"/>
            <w:tcMar>
              <w:top w:type="dxa" w:w="20"/>
              <w:left w:type="dxa" w:w="110"/>
              <w:bottom w:type="dxa" w:w="20"/>
              <w:right w:type="dxa" w:w="110"/>
            </w:tcMar>
          </w:tcPr>
          <w:p>
            <w:pPr>
              <w:spacing w:after="40" w:line="252"/>
            </w:pPr>
            <w:r>
              <w:rPr>
                <w:b/>
                <w:bCs/>
                <w:color w:val="FFFFFF"/>
                <w:sz w:val="19"/>
                <w:szCs w:val="19"/>
              </w:rPr>
              <w:t xml:space="preserve">Objectif</w:t>
            </w:r>
          </w:p>
        </w:tc>
        <w:tc>
          <w:tcPr>
            <w:tcW w:type="dxa" w:w="5600"/>
            <w:shd w:fill="10213A" w:color="auto" w:val="clear"/>
            <w:tcMar>
              <w:top w:type="dxa" w:w="20"/>
              <w:left w:type="dxa" w:w="110"/>
              <w:bottom w:type="dxa" w:w="20"/>
              <w:right w:type="dxa" w:w="110"/>
            </w:tcMar>
          </w:tcPr>
          <w:p>
            <w:pPr>
              <w:spacing w:after="40" w:line="252"/>
            </w:pPr>
            <w:r>
              <w:rPr>
                <w:b/>
                <w:bCs/>
                <w:color w:val="FFFFFF"/>
                <w:sz w:val="19"/>
                <w:szCs w:val="19"/>
              </w:rPr>
              <w:t xml:space="preserve">Ce que chacun fait</w:t>
            </w:r>
          </w:p>
        </w:tc>
      </w:tr>
      <w:tr>
        <w:trPr>
          <w:cantSplit/>
          <w:tblHeader w:val="false"/>
        </w:trPr>
        <w:tc>
          <w:tcPr>
            <w:tcW w:type="dxa" w:w="1400"/>
            <w:tcMar>
              <w:top w:type="dxa" w:w="20"/>
              <w:left w:type="dxa" w:w="110"/>
              <w:bottom w:type="dxa" w:w="20"/>
              <w:right w:type="dxa" w:w="110"/>
            </w:tcMar>
          </w:tcPr>
          <w:p>
            <w:pPr>
              <w:spacing w:after="40" w:line="252"/>
            </w:pPr>
            <w:r>
              <w:rPr>
                <w:sz w:val="19"/>
                <w:szCs w:val="19"/>
              </w:rPr>
              <w:t xml:space="preserve">0</w:t>
            </w:r>
          </w:p>
        </w:tc>
        <w:tc>
          <w:tcPr>
            <w:tcW w:type="dxa" w:w="2600"/>
            <w:tcMar>
              <w:top w:type="dxa" w:w="20"/>
              <w:left w:type="dxa" w:w="110"/>
              <w:bottom w:type="dxa" w:w="20"/>
              <w:right w:type="dxa" w:w="110"/>
            </w:tcMar>
          </w:tcPr>
          <w:p>
            <w:pPr>
              <w:spacing w:after="40" w:line="252"/>
            </w:pPr>
            <w:r>
              <w:rPr>
                <w:sz w:val="19"/>
                <w:szCs w:val="19"/>
              </w:rPr>
              <w:t xml:space="preserve">Cadrer</w:t>
            </w:r>
          </w:p>
        </w:tc>
        <w:tc>
          <w:tcPr>
            <w:tcW w:type="dxa" w:w="5600"/>
            <w:tcMar>
              <w:top w:type="dxa" w:w="20"/>
              <w:left w:type="dxa" w:w="110"/>
              <w:bottom w:type="dxa" w:w="20"/>
              <w:right w:type="dxa" w:w="110"/>
            </w:tcMar>
          </w:tcPr>
          <w:p>
            <w:pPr>
              <w:spacing w:after="40" w:line="252"/>
            </w:pPr>
            <w:r>
              <w:rPr>
                <w:sz w:val="19"/>
                <w:szCs w:val="19"/>
              </w:rPr>
              <w:t xml:space="preserve">Lecture de la partie 0 par tous. Auto-évaluation (annexe A). Confirmation de l’outil validé avec la DSI. Choix d’un propriétaire du kit et d’un ambassadeur IA dans l’équipe.</w:t>
            </w:r>
          </w:p>
        </w:tc>
      </w:tr>
      <w:tr>
        <w:trPr>
          <w:cantSplit/>
          <w:tblHeader w:val="false"/>
        </w:trPr>
        <w:tc>
          <w:tcPr>
            <w:tcW w:type="dxa" w:w="1400"/>
            <w:shd w:fill="F2F6FA" w:color="auto" w:val="clear"/>
            <w:tcMar>
              <w:top w:type="dxa" w:w="20"/>
              <w:left w:type="dxa" w:w="110"/>
              <w:bottom w:type="dxa" w:w="20"/>
              <w:right w:type="dxa" w:w="110"/>
            </w:tcMar>
          </w:tcPr>
          <w:p>
            <w:pPr>
              <w:spacing w:after="40" w:line="252"/>
            </w:pPr>
            <w:r>
              <w:rPr>
                <w:sz w:val="19"/>
                <w:szCs w:val="19"/>
              </w:rPr>
              <w:t xml:space="preserve">1 et 2</w:t>
            </w:r>
          </w:p>
        </w:tc>
        <w:tc>
          <w:tcPr>
            <w:tcW w:type="dxa" w:w="2600"/>
            <w:shd w:fill="F2F6FA" w:color="auto" w:val="clear"/>
            <w:tcMar>
              <w:top w:type="dxa" w:w="20"/>
              <w:left w:type="dxa" w:w="110"/>
              <w:bottom w:type="dxa" w:w="20"/>
              <w:right w:type="dxa" w:w="110"/>
            </w:tcMar>
          </w:tcPr>
          <w:p>
            <w:pPr>
              <w:spacing w:after="40" w:line="252"/>
            </w:pPr>
            <w:r>
              <w:rPr>
                <w:sz w:val="19"/>
                <w:szCs w:val="19"/>
              </w:rPr>
              <w:t xml:space="preserve">Niveau 1</w:t>
            </w:r>
          </w:p>
        </w:tc>
        <w:tc>
          <w:tcPr>
            <w:tcW w:type="dxa" w:w="5600"/>
            <w:shd w:fill="F2F6FA" w:color="auto" w:val="clear"/>
            <w:tcMar>
              <w:top w:type="dxa" w:w="20"/>
              <w:left w:type="dxa" w:w="110"/>
              <w:bottom w:type="dxa" w:w="20"/>
              <w:right w:type="dxa" w:w="110"/>
            </w:tcMar>
          </w:tcPr>
          <w:p>
            <w:pPr>
              <w:spacing w:after="40" w:line="252"/>
            </w:pPr>
            <w:r>
              <w:rPr>
                <w:sz w:val="19"/>
                <w:szCs w:val="19"/>
              </w:rPr>
              <w:t xml:space="preserve">Une fiche par jour ouvré sur un document réel. Journal de progression tenu. Atelier hebdomadaire : chacun montre un cas en trois minutes.</w:t>
            </w:r>
          </w:p>
        </w:tc>
      </w:tr>
      <w:tr>
        <w:trPr>
          <w:cantSplit/>
          <w:tblHeader w:val="false"/>
        </w:trPr>
        <w:tc>
          <w:tcPr>
            <w:tcW w:type="dxa" w:w="1400"/>
            <w:tcMar>
              <w:top w:type="dxa" w:w="20"/>
              <w:left w:type="dxa" w:w="110"/>
              <w:bottom w:type="dxa" w:w="20"/>
              <w:right w:type="dxa" w:w="110"/>
            </w:tcMar>
          </w:tcPr>
          <w:p>
            <w:pPr>
              <w:spacing w:after="40" w:line="252"/>
            </w:pPr>
            <w:r>
              <w:rPr>
                <w:sz w:val="19"/>
                <w:szCs w:val="19"/>
              </w:rPr>
              <w:t xml:space="preserve">3 et 4</w:t>
            </w:r>
          </w:p>
        </w:tc>
        <w:tc>
          <w:tcPr>
            <w:tcW w:type="dxa" w:w="2600"/>
            <w:tcMar>
              <w:top w:type="dxa" w:w="20"/>
              <w:left w:type="dxa" w:w="110"/>
              <w:bottom w:type="dxa" w:w="20"/>
              <w:right w:type="dxa" w:w="110"/>
            </w:tcMar>
          </w:tcPr>
          <w:p>
            <w:pPr>
              <w:spacing w:after="40" w:line="252"/>
            </w:pPr>
            <w:r>
              <w:rPr>
                <w:sz w:val="19"/>
                <w:szCs w:val="19"/>
              </w:rPr>
              <w:t xml:space="preserve">Niveau 2</w:t>
            </w:r>
          </w:p>
        </w:tc>
        <w:tc>
          <w:tcPr>
            <w:tcW w:type="dxa" w:w="5600"/>
            <w:tcMar>
              <w:top w:type="dxa" w:w="20"/>
              <w:left w:type="dxa" w:w="110"/>
              <w:bottom w:type="dxa" w:w="20"/>
              <w:right w:type="dxa" w:w="110"/>
            </w:tcMar>
          </w:tcPr>
          <w:p>
            <w:pPr>
              <w:spacing w:after="40" w:line="252"/>
            </w:pPr>
            <w:r>
              <w:rPr>
                <w:sz w:val="19"/>
                <w:szCs w:val="19"/>
              </w:rPr>
              <w:t xml:space="preserve">Fiches 11 à 22, en commençant par la famille qui pèse le plus dans la semaine de chacun. Atelier : un contrat réel passé au playbook (fiche 12) en séance, ensemble.</w:t>
            </w:r>
          </w:p>
        </w:tc>
      </w:tr>
      <w:tr>
        <w:trPr>
          <w:cantSplit/>
          <w:tblHeader w:val="false"/>
        </w:trPr>
        <w:tc>
          <w:tcPr>
            <w:tcW w:type="dxa" w:w="1400"/>
            <w:shd w:fill="F2F6FA" w:color="auto" w:val="clear"/>
            <w:tcMar>
              <w:top w:type="dxa" w:w="20"/>
              <w:left w:type="dxa" w:w="110"/>
              <w:bottom w:type="dxa" w:w="20"/>
              <w:right w:type="dxa" w:w="110"/>
            </w:tcMar>
          </w:tcPr>
          <w:p>
            <w:pPr>
              <w:spacing w:after="40" w:line="252"/>
            </w:pPr>
            <w:r>
              <w:rPr>
                <w:sz w:val="19"/>
                <w:szCs w:val="19"/>
              </w:rPr>
              <w:t xml:space="preserve">5 et 6</w:t>
            </w:r>
          </w:p>
        </w:tc>
        <w:tc>
          <w:tcPr>
            <w:tcW w:type="dxa" w:w="2600"/>
            <w:shd w:fill="F2F6FA" w:color="auto" w:val="clear"/>
            <w:tcMar>
              <w:top w:type="dxa" w:w="20"/>
              <w:left w:type="dxa" w:w="110"/>
              <w:bottom w:type="dxa" w:w="20"/>
              <w:right w:type="dxa" w:w="110"/>
            </w:tcMar>
          </w:tcPr>
          <w:p>
            <w:pPr>
              <w:spacing w:after="40" w:line="252"/>
            </w:pPr>
            <w:r>
              <w:rPr>
                <w:sz w:val="19"/>
                <w:szCs w:val="19"/>
              </w:rPr>
              <w:t xml:space="preserve">Niveau 3</w:t>
            </w:r>
          </w:p>
        </w:tc>
        <w:tc>
          <w:tcPr>
            <w:tcW w:type="dxa" w:w="5600"/>
            <w:shd w:fill="F2F6FA" w:color="auto" w:val="clear"/>
            <w:tcMar>
              <w:top w:type="dxa" w:w="20"/>
              <w:left w:type="dxa" w:w="110"/>
              <w:bottom w:type="dxa" w:w="20"/>
              <w:right w:type="dxa" w:w="110"/>
            </w:tcMar>
          </w:tcPr>
          <w:p>
            <w:pPr>
              <w:spacing w:after="40" w:line="252"/>
            </w:pPr>
            <w:r>
              <w:rPr>
                <w:sz w:val="19"/>
                <w:szCs w:val="19"/>
              </w:rPr>
              <w:t xml:space="preserve">Choix collectif de deux assistants à construire (souvent le playbook, fiche 23, et le premier niveau, fiche 26). Un binôme par assistant, test sur vingt cas réels, ouverture à l’équipe.</w:t>
            </w:r>
          </w:p>
        </w:tc>
      </w:tr>
      <w:tr>
        <w:trPr>
          <w:cantSplit/>
          <w:tblHeader w:val="false"/>
        </w:trPr>
        <w:tc>
          <w:tcPr>
            <w:tcW w:type="dxa" w:w="1400"/>
            <w:tcMar>
              <w:top w:type="dxa" w:w="20"/>
              <w:left w:type="dxa" w:w="110"/>
              <w:bottom w:type="dxa" w:w="20"/>
              <w:right w:type="dxa" w:w="110"/>
            </w:tcMar>
          </w:tcPr>
          <w:p>
            <w:pPr>
              <w:spacing w:after="40" w:line="252"/>
            </w:pPr>
            <w:r>
              <w:rPr>
                <w:sz w:val="19"/>
                <w:szCs w:val="19"/>
              </w:rPr>
              <w:t xml:space="preserve">7</w:t>
            </w:r>
          </w:p>
        </w:tc>
        <w:tc>
          <w:tcPr>
            <w:tcW w:type="dxa" w:w="2600"/>
            <w:tcMar>
              <w:top w:type="dxa" w:w="20"/>
              <w:left w:type="dxa" w:w="110"/>
              <w:bottom w:type="dxa" w:w="20"/>
              <w:right w:type="dxa" w:w="110"/>
            </w:tcMar>
          </w:tcPr>
          <w:p>
            <w:pPr>
              <w:spacing w:after="40" w:line="252"/>
            </w:pPr>
            <w:r>
              <w:rPr>
                <w:sz w:val="19"/>
                <w:szCs w:val="19"/>
              </w:rPr>
              <w:t xml:space="preserve">Ancrer</w:t>
            </w:r>
          </w:p>
        </w:tc>
        <w:tc>
          <w:tcPr>
            <w:tcW w:type="dxa" w:w="5600"/>
            <w:tcMar>
              <w:top w:type="dxa" w:w="20"/>
              <w:left w:type="dxa" w:w="110"/>
              <w:bottom w:type="dxa" w:w="20"/>
              <w:right w:type="dxa" w:w="110"/>
            </w:tcMar>
          </w:tcPr>
          <w:p>
            <w:pPr>
              <w:spacing w:after="40" w:line="252"/>
            </w:pPr>
            <w:r>
              <w:rPr>
                <w:sz w:val="19"/>
                <w:szCs w:val="19"/>
              </w:rPr>
              <w:t xml:space="preserve">Bilan : temps gagné déclaré, usages installés, bibliothèque d’équipe constituée. Décision sur le rythme de croisière : atelier mensuel, revue trimestrielle des assistants.</w:t>
            </w:r>
          </w:p>
        </w:tc>
      </w:tr>
    </w:tbl>
    <w:p>
      <w:pPr>
        <w:spacing w:after="120"/>
      </w:pPr>
    </w:p>
    <w:p>
      <w:pPr>
        <w:pStyle w:val="Heading2"/>
      </w:pPr>
      <w:r>
        <w:t xml:space="preserve">4.2 L’atelier hebdomadaire de quarante-cinq minutes</w:t>
      </w:r>
    </w:p>
    <w:p>
      <w:pPr>
        <w:spacing w:after="100" w:line="264"/>
      </w:pPr>
      <w:r>
        <w:t xml:space="preserve">Le format qui fonctionne est celui d’une Prompt Party interne : on pratique ensemble sur des cas réels, on observe ce qui marche, on en tire une règle, on la ramène dans sa semaine. Le déroulé tient en quatre temps.</w:t>
      </w:r>
    </w:p>
    <w:p>
      <w:pPr>
        <w:pStyle w:val="ListParagraph"/>
        <w:numPr>
          <w:ilvl w:val="0"/>
          <w:numId w:val="6"/>
        </w:numPr>
        <w:spacing w:after="60" w:line="264"/>
      </w:pPr>
      <w:r>
        <w:rPr>
          <w:b/>
          <w:bCs/>
        </w:rPr>
        <w:t xml:space="preserve">Dix minutes, tour de table</w:t>
      </w:r>
      <w:r>
        <w:t xml:space="preserve"> : chaque juriste montre un prompt qui a marché ou raté cette semaine, à l’écran, sur un cas pseudonymisé. Pas de diapositive.</w:t>
      </w:r>
    </w:p>
    <w:p>
      <w:pPr>
        <w:pStyle w:val="ListParagraph"/>
        <w:numPr>
          <w:ilvl w:val="0"/>
          <w:numId w:val="6"/>
        </w:numPr>
        <w:spacing w:after="60" w:line="264"/>
      </w:pPr>
      <w:r>
        <w:rPr>
          <w:b/>
          <w:bCs/>
        </w:rPr>
        <w:t xml:space="preserve">Vingt minutes, cas commun</w:t>
      </w:r>
      <w:r>
        <w:t xml:space="preserve"> : un document réel de la semaine (un contrat, une politique, un fil d’emails) est traité en direct avec la fiche du jour, par un volontaire, les autres corrigent le prompt à la volée.</w:t>
      </w:r>
    </w:p>
    <w:p>
      <w:pPr>
        <w:pStyle w:val="ListParagraph"/>
        <w:numPr>
          <w:ilvl w:val="0"/>
          <w:numId w:val="6"/>
        </w:numPr>
        <w:spacing w:after="60" w:line="264"/>
      </w:pPr>
      <w:r>
        <w:rPr>
          <w:b/>
          <w:bCs/>
        </w:rPr>
        <w:t xml:space="preserve">Dix minutes, règle du jour</w:t>
      </w:r>
      <w:r>
        <w:t xml:space="preserve"> : ce que l’équipe retient (une formulation de prompt, une vérification, une limite de l’outil) est écrit dans la bibliothèque partagée avant la fin de l’atelier.</w:t>
      </w:r>
    </w:p>
    <w:p>
      <w:pPr>
        <w:pStyle w:val="ListParagraph"/>
        <w:numPr>
          <w:ilvl w:val="0"/>
          <w:numId w:val="6"/>
        </w:numPr>
        <w:spacing w:after="60" w:line="264"/>
      </w:pPr>
      <w:r>
        <w:rPr>
          <w:b/>
          <w:bCs/>
        </w:rPr>
        <w:t xml:space="preserve">Cinq minutes, engagement</w:t>
      </w:r>
      <w:r>
        <w:t xml:space="preserve"> : chacun nomme la fiche qu’il utilisera sur un cas réel avant le prochain atelier.</w:t>
      </w:r>
    </w:p>
    <w:p>
      <w:pPr>
        <w:pStyle w:val="Heading2"/>
      </w:pPr>
      <w:r>
        <w:t xml:space="preserve">4.3 La bibliothèque partagée de l’équipe</w:t>
      </w:r>
    </w:p>
    <w:p>
      <w:pPr>
        <w:spacing w:after="100" w:line="264"/>
      </w:pPr>
      <w:r>
        <w:t xml:space="preserve">Les juristes qui disposeront dans un an d’une bibliothèque de vingt prompts éprouvés sont ceux qui en ont enregistré un cette semaine. La compétence qui fait la différence à ce stade n’est plus de prompter, c’est de réutiliser : transformer un prompt qui a marché en fiche partagée, puis en assistant. Le gabarit de l’annexe B sert à cela. Trois règles suffisent : une fiche par cas d’usage, un propriétaire par fiche, une revue trimestrielle où l’on supprime ce qui ne sert plus. Le lieu importe peu (bibliothèque SharePoint, canal Teams, espace partagé), pourvu qu’il soit à un clic de l’outil d’IA.</w:t>
      </w:r>
    </w:p>
    <w:p>
      <w:pPr>
        <w:pStyle w:val="Heading2"/>
      </w:pPr>
      <w:r>
        <w:t xml:space="preserve">4.4 Trois indicateurs simples</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800"/>
        <w:gridCol w:w="3400"/>
        <w:gridCol w:w="3400"/>
      </w:tblGrid>
      <w:tr>
        <w:trPr>
          <w:cantSplit/>
          <w:tblHeader/>
        </w:trPr>
        <w:tc>
          <w:tcPr>
            <w:tcW w:type="dxa" w:w="2800"/>
            <w:shd w:fill="10213A" w:color="auto" w:val="clear"/>
            <w:tcMar>
              <w:top w:type="dxa" w:w="70"/>
              <w:left w:type="dxa" w:w="110"/>
              <w:bottom w:type="dxa" w:w="70"/>
              <w:right w:type="dxa" w:w="110"/>
            </w:tcMar>
          </w:tcPr>
          <w:p>
            <w:pPr>
              <w:spacing w:after="40" w:line="252"/>
            </w:pPr>
            <w:r>
              <w:rPr>
                <w:b/>
                <w:bCs/>
                <w:color w:val="FFFFFF"/>
                <w:sz w:val="19"/>
                <w:szCs w:val="19"/>
              </w:rPr>
              <w:t xml:space="preserve">Indicateur</w:t>
            </w:r>
          </w:p>
        </w:tc>
        <w:tc>
          <w:tcPr>
            <w:tcW w:type="dxa" w:w="3400"/>
            <w:shd w:fill="10213A" w:color="auto" w:val="clear"/>
            <w:tcMar>
              <w:top w:type="dxa" w:w="70"/>
              <w:left w:type="dxa" w:w="110"/>
              <w:bottom w:type="dxa" w:w="70"/>
              <w:right w:type="dxa" w:w="110"/>
            </w:tcMar>
          </w:tcPr>
          <w:p>
            <w:pPr>
              <w:spacing w:after="40" w:line="252"/>
            </w:pPr>
            <w:r>
              <w:rPr>
                <w:b/>
                <w:bCs/>
                <w:color w:val="FFFFFF"/>
                <w:sz w:val="19"/>
                <w:szCs w:val="19"/>
              </w:rPr>
              <w:t xml:space="preserve">Comment le mesurer</w:t>
            </w:r>
          </w:p>
        </w:tc>
        <w:tc>
          <w:tcPr>
            <w:tcW w:type="dxa" w:w="3400"/>
            <w:shd w:fill="10213A" w:color="auto" w:val="clear"/>
            <w:tcMar>
              <w:top w:type="dxa" w:w="70"/>
              <w:left w:type="dxa" w:w="110"/>
              <w:bottom w:type="dxa" w:w="70"/>
              <w:right w:type="dxa" w:w="110"/>
            </w:tcMar>
          </w:tcPr>
          <w:p>
            <w:pPr>
              <w:spacing w:after="40" w:line="252"/>
            </w:pPr>
            <w:r>
              <w:rPr>
                <w:b/>
                <w:bCs/>
                <w:color w:val="FFFFFF"/>
                <w:sz w:val="19"/>
                <w:szCs w:val="19"/>
              </w:rPr>
              <w:t xml:space="preserve">Cible raisonnable à six semaines</w:t>
            </w:r>
          </w:p>
        </w:tc>
      </w:tr>
      <w:tr>
        <w:trPr>
          <w:cantSplit/>
          <w:tblHeader w:val="false"/>
        </w:trPr>
        <w:tc>
          <w:tcPr>
            <w:tcW w:type="dxa" w:w="2800"/>
            <w:tcMar>
              <w:top w:type="dxa" w:w="70"/>
              <w:left w:type="dxa" w:w="110"/>
              <w:bottom w:type="dxa" w:w="70"/>
              <w:right w:type="dxa" w:w="110"/>
            </w:tcMar>
          </w:tcPr>
          <w:p>
            <w:pPr>
              <w:spacing w:after="40" w:line="252"/>
            </w:pPr>
            <w:r>
              <w:rPr>
                <w:sz w:val="19"/>
                <w:szCs w:val="19"/>
              </w:rPr>
              <w:t xml:space="preserve">Usage régulier</w:t>
            </w:r>
          </w:p>
        </w:tc>
        <w:tc>
          <w:tcPr>
            <w:tcW w:type="dxa" w:w="3400"/>
            <w:tcMar>
              <w:top w:type="dxa" w:w="70"/>
              <w:left w:type="dxa" w:w="110"/>
              <w:bottom w:type="dxa" w:w="70"/>
              <w:right w:type="dxa" w:w="110"/>
            </w:tcMar>
          </w:tcPr>
          <w:p>
            <w:pPr>
              <w:spacing w:after="40" w:line="252"/>
            </w:pPr>
            <w:r>
              <w:rPr>
                <w:sz w:val="19"/>
                <w:szCs w:val="19"/>
              </w:rPr>
              <w:t xml:space="preserve">Sondage anonyme en deux questions par mois : « combien de fois cette semaine ? », « sur quelles fiches ? »</w:t>
            </w:r>
          </w:p>
        </w:tc>
        <w:tc>
          <w:tcPr>
            <w:tcW w:type="dxa" w:w="3400"/>
            <w:tcMar>
              <w:top w:type="dxa" w:w="70"/>
              <w:left w:type="dxa" w:w="110"/>
              <w:bottom w:type="dxa" w:w="70"/>
              <w:right w:type="dxa" w:w="110"/>
            </w:tcMar>
          </w:tcPr>
          <w:p>
            <w:pPr>
              <w:spacing w:after="40" w:line="252"/>
            </w:pPr>
            <w:r>
              <w:rPr>
                <w:sz w:val="19"/>
                <w:szCs w:val="19"/>
              </w:rPr>
              <w:t xml:space="preserve">Trois usages par semaine et par juriste</w:t>
            </w:r>
          </w:p>
        </w:tc>
      </w:tr>
      <w:tr>
        <w:trPr>
          <w:cantSplit/>
          <w:tblHeader w:val="false"/>
        </w:trPr>
        <w:tc>
          <w:tcPr>
            <w:tcW w:type="dxa" w:w="2800"/>
            <w:shd w:fill="F2F6FA" w:color="auto" w:val="clear"/>
            <w:tcMar>
              <w:top w:type="dxa" w:w="70"/>
              <w:left w:type="dxa" w:w="110"/>
              <w:bottom w:type="dxa" w:w="70"/>
              <w:right w:type="dxa" w:w="110"/>
            </w:tcMar>
          </w:tcPr>
          <w:p>
            <w:pPr>
              <w:spacing w:after="40" w:line="252"/>
            </w:pPr>
            <w:r>
              <w:rPr>
                <w:sz w:val="19"/>
                <w:szCs w:val="19"/>
              </w:rPr>
              <w:t xml:space="preserve">Temps gagné déclaré</w:t>
            </w:r>
          </w:p>
        </w:tc>
        <w:tc>
          <w:tcPr>
            <w:tcW w:type="dxa" w:w="3400"/>
            <w:shd w:fill="F2F6FA" w:color="auto" w:val="clear"/>
            <w:tcMar>
              <w:top w:type="dxa" w:w="70"/>
              <w:left w:type="dxa" w:w="110"/>
              <w:bottom w:type="dxa" w:w="70"/>
              <w:right w:type="dxa" w:w="110"/>
            </w:tcMar>
          </w:tcPr>
          <w:p>
            <w:pPr>
              <w:spacing w:after="40" w:line="252"/>
            </w:pPr>
            <w:r>
              <w:rPr>
                <w:sz w:val="19"/>
                <w:szCs w:val="19"/>
              </w:rPr>
              <w:t xml:space="preserve">Journal de progression : temps estimé sans l’outil, temps réel avec relecture</w:t>
            </w:r>
          </w:p>
        </w:tc>
        <w:tc>
          <w:tcPr>
            <w:tcW w:type="dxa" w:w="3400"/>
            <w:shd w:fill="F2F6FA" w:color="auto" w:val="clear"/>
            <w:tcMar>
              <w:top w:type="dxa" w:w="70"/>
              <w:left w:type="dxa" w:w="110"/>
              <w:bottom w:type="dxa" w:w="70"/>
              <w:right w:type="dxa" w:w="110"/>
            </w:tcMar>
          </w:tcPr>
          <w:p>
            <w:pPr>
              <w:spacing w:after="40" w:line="252"/>
            </w:pPr>
            <w:r>
              <w:rPr>
                <w:sz w:val="19"/>
                <w:szCs w:val="19"/>
              </w:rPr>
              <w:t xml:space="preserve">Deux à quatre heures par semaine et par juriste, en cohérence avec les 6 à 20 % de la semaine mesurés par Wolters Kluwer</w:t>
            </w:r>
          </w:p>
        </w:tc>
      </w:tr>
      <w:tr>
        <w:trPr>
          <w:cantSplit/>
          <w:tblHeader w:val="false"/>
        </w:trPr>
        <w:tc>
          <w:tcPr>
            <w:tcW w:type="dxa" w:w="2800"/>
            <w:tcMar>
              <w:top w:type="dxa" w:w="70"/>
              <w:left w:type="dxa" w:w="110"/>
              <w:bottom w:type="dxa" w:w="70"/>
              <w:right w:type="dxa" w:w="110"/>
            </w:tcMar>
          </w:tcPr>
          <w:p>
            <w:pPr>
              <w:spacing w:after="40" w:line="252"/>
            </w:pPr>
            <w:r>
              <w:rPr>
                <w:sz w:val="19"/>
                <w:szCs w:val="19"/>
              </w:rPr>
              <w:t xml:space="preserve">Taux de vérification</w:t>
            </w:r>
          </w:p>
        </w:tc>
        <w:tc>
          <w:tcPr>
            <w:tcW w:type="dxa" w:w="3400"/>
            <w:tcMar>
              <w:top w:type="dxa" w:w="70"/>
              <w:left w:type="dxa" w:w="110"/>
              <w:bottom w:type="dxa" w:w="70"/>
              <w:right w:type="dxa" w:w="110"/>
            </w:tcMar>
          </w:tcPr>
          <w:p>
            <w:pPr>
              <w:spacing w:after="40" w:line="252"/>
            </w:pPr>
            <w:r>
              <w:rPr>
                <w:sz w:val="19"/>
                <w:szCs w:val="19"/>
              </w:rPr>
              <w:t xml:space="preserve">À l’atelier : sur les cas montrés, la vérification a-t-elle été faite et documentée ?</w:t>
            </w:r>
          </w:p>
        </w:tc>
        <w:tc>
          <w:tcPr>
            <w:tcW w:type="dxa" w:w="3400"/>
            <w:tcMar>
              <w:top w:type="dxa" w:w="70"/>
              <w:left w:type="dxa" w:w="110"/>
              <w:bottom w:type="dxa" w:w="70"/>
              <w:right w:type="dxa" w:w="110"/>
            </w:tcMar>
          </w:tcPr>
          <w:p>
            <w:pPr>
              <w:spacing w:after="40" w:line="252"/>
            </w:pPr>
            <w:r>
              <w:rPr>
                <w:sz w:val="19"/>
                <w:szCs w:val="19"/>
              </w:rPr>
              <w:t xml:space="preserve">100 %. C’est le seul indicateur qui ne se négocie pas</w:t>
            </w:r>
          </w:p>
        </w:tc>
      </w:tr>
    </w:tbl>
    <w:p>
      <w:pPr>
        <w:spacing w:after="120"/>
      </w:pPr>
    </w:p>
    <w:p>
      <w:pPr>
        <w:pStyle w:val="Heading2"/>
      </w:pPr>
      <w:r>
        <w:t xml:space="preserve">4.5 Charte, ambassadeur, documentation</w:t>
      </w:r>
    </w:p>
    <w:p>
      <w:pPr>
        <w:spacing w:after="100" w:line="264"/>
      </w:pPr>
      <w:r>
        <w:rPr>
          <w:b/>
          <w:bCs/>
        </w:rPr>
        <w:t xml:space="preserve">La charte d’usage de l’IA</w:t>
      </w:r>
      <w:r>
        <w:t xml:space="preserve"> de l’organisation fixe ce que le kit pratique : outils autorisés, données interdites, obligation de vérification, transparence. Si elle n’existe pas encore, la direction juridique est la mieux placée pour la porter ; NextStart met à disposition un modèle de charte à jour du règlement européen sur l’IA. Si elle existe, c’est elle qui l’emporte sur la partie 0 du kit en cas de doute.</w:t>
      </w:r>
    </w:p>
    <w:p>
      <w:pPr>
        <w:spacing w:after="100" w:line="264"/>
      </w:pPr>
      <w:r>
        <w:rPr>
          <w:b/>
          <w:bCs/>
        </w:rPr>
        <w:t xml:space="preserve">L’ambassadeur IA</w:t>
      </w:r>
      <w:r>
        <w:t xml:space="preserve"> de l’équipe n’est pas l’expert technique, c’est le juriste qui anime l’atelier, tient la bibliothèque et fait remonter les besoins à la DSI. Une heure par semaine suffit. Le kit Ambassadeurs IA de NextStart décrit ce rôle à l’échelle d’une organisation.</w:t>
      </w:r>
    </w:p>
    <w:p>
      <w:pPr>
        <w:spacing w:after="100" w:line="264"/>
      </w:pPr>
      <w:r>
        <w:rPr>
          <w:b/>
          <w:bCs/>
        </w:rPr>
        <w:t xml:space="preserve">La documentation</w:t>
      </w:r>
      <w:r>
        <w:t xml:space="preserve"> attendue au titre de l’article 4 du règlement européen sur l’IA est proportionnée : la liste des participants et des ateliers, les journaux de progression signés (annexe F), la bibliothèque partagée et la charte constituent une trace suffisante de la mesure prise.</w:t>
      </w:r>
    </w:p>
    <w:p>
      <w:pPr>
        <w:pStyle w:val="Heading2"/>
      </w:pPr>
      <w:r>
        <w:t xml:space="preserve">4.6 Cinq erreurs qui font échouer le déploiement</w:t>
      </w:r>
    </w:p>
    <w:p>
      <w:pPr>
        <w:pStyle w:val="ListParagraph"/>
        <w:numPr>
          <w:ilvl w:val="0"/>
          <w:numId w:val="2"/>
        </w:numPr>
        <w:spacing w:after="60" w:line="264"/>
      </w:pPr>
      <w:r>
        <w:rPr>
          <w:b/>
          <w:bCs/>
        </w:rPr>
        <w:t xml:space="preserve">Distribuer le kit sans rituel.</w:t>
      </w:r>
      <w:r>
        <w:t xml:space="preserve"> Un document lu seul est oublié en trois semaines ; un atelier de quarante-cinq minutes par semaine l’installe.</w:t>
      </w:r>
    </w:p>
    <w:p>
      <w:pPr>
        <w:pStyle w:val="ListParagraph"/>
        <w:numPr>
          <w:ilvl w:val="0"/>
          <w:numId w:val="2"/>
        </w:numPr>
        <w:spacing w:after="60" w:line="264"/>
      </w:pPr>
      <w:r>
        <w:rPr>
          <w:b/>
          <w:bCs/>
        </w:rPr>
        <w:t xml:space="preserve">Commencer par le niveau 3.</w:t>
      </w:r>
      <w:r>
        <w:t xml:space="preserve"> Un assistant construit avant que l’équipe sache prompter et vérifier produit des sorties que personne ne sait relire.</w:t>
      </w:r>
    </w:p>
    <w:p>
      <w:pPr>
        <w:pStyle w:val="ListParagraph"/>
        <w:numPr>
          <w:ilvl w:val="0"/>
          <w:numId w:val="2"/>
        </w:numPr>
        <w:spacing w:after="60" w:line="264"/>
      </w:pPr>
      <w:r>
        <w:rPr>
          <w:b/>
          <w:bCs/>
        </w:rPr>
        <w:t xml:space="preserve">Laisser chacun choisir son outil.</w:t>
      </w:r>
      <w:r>
        <w:t xml:space="preserve"> Les usages sur comptes personnels sont invisibles et non protégés ; l’outil validé se décide avant la semaine 1.</w:t>
      </w:r>
    </w:p>
    <w:p>
      <w:pPr>
        <w:pStyle w:val="ListParagraph"/>
        <w:numPr>
          <w:ilvl w:val="0"/>
          <w:numId w:val="2"/>
        </w:numPr>
        <w:spacing w:after="60" w:line="264"/>
      </w:pPr>
      <w:r>
        <w:rPr>
          <w:b/>
          <w:bCs/>
        </w:rPr>
        <w:t xml:space="preserve">Mesurer le temps gagné sans mesurer la vérification.</w:t>
      </w:r>
      <w:r>
        <w:t xml:space="preserve"> Le gain de temps qui saute la vérification est une dette, pas un gain.</w:t>
      </w:r>
    </w:p>
    <w:p>
      <w:pPr>
        <w:pStyle w:val="ListParagraph"/>
        <w:numPr>
          <w:ilvl w:val="0"/>
          <w:numId w:val="2"/>
        </w:numPr>
        <w:spacing w:after="60" w:line="264"/>
      </w:pPr>
      <w:r>
        <w:rPr>
          <w:b/>
          <w:bCs/>
        </w:rPr>
        <w:t xml:space="preserve">Ne pas nommer de propriétaire.</w:t>
      </w:r>
      <w:r>
        <w:t xml:space="preserve"> Un playbook, une vigie ou un assistant sans propriétaire dérive en quelques mois.</w:t>
      </w:r>
    </w:p>
    <w:p>
      <w:pPr>
        <w:pStyle w:val="Heading2"/>
      </w:pPr>
      <w:r>
        <w:t xml:space="preserve">Aller plus loin</w:t>
      </w:r>
    </w:p>
    <w:p>
      <w:pPr>
        <w:spacing w:after="100" w:line="264"/>
      </w:pPr>
      <w:r>
        <w:t xml:space="preserve">Ce kit est conçu pour une montée en compétence autonome. Une équipe qui veut aller plus vite, ou franchir le niveau 3 avec un accompagnement, peut s’appuyer sur trois ressources de NextStart. Le catalogue app.nextstart.ai réunit par ailleurs les fiches de prompts, d’agents et de missions Cowork citées dans ce kit.</w:t>
      </w:r>
    </w:p>
    <w:p>
      <w:pPr>
        <w:pStyle w:val="ListParagraph"/>
        <w:numPr>
          <w:ilvl w:val="0"/>
          <w:numId w:val="2"/>
        </w:numPr>
        <w:spacing w:after="60" w:line="264"/>
      </w:pPr>
      <w:r>
        <w:rPr>
          <w:b/>
          <w:bCs/>
        </w:rPr>
        <w:t xml:space="preserve">La formation IA pour les juristes et les équipes juridiques</w:t>
      </w:r>
      <w:r>
        <w:t xml:space="preserve"> : une demi-journée ou un format d’une heure trente, sur vos cas et dans votre outil, avec 70 % de pratique. www.nextstart.ai/offre/ia-pour-les-juristes/</w:t>
      </w:r>
    </w:p>
    <w:p>
      <w:pPr>
        <w:pStyle w:val="ListParagraph"/>
        <w:numPr>
          <w:ilvl w:val="0"/>
          <w:numId w:val="2"/>
        </w:numPr>
        <w:spacing w:after="60" w:line="264"/>
      </w:pPr>
      <w:r>
        <w:rPr>
          <w:b/>
          <w:bCs/>
        </w:rPr>
        <w:t xml:space="preserve">Le modèle de charte d’usage de l’IA générative</w:t>
      </w:r>
      <w:r>
        <w:t xml:space="preserve">, quinze articles et quatre annexes, à jour du règlement européen sur l’IA. www.nextstart.ai/modele-charte-ia/</w:t>
      </w:r>
    </w:p>
    <w:p>
      <w:pPr>
        <w:pStyle w:val="ListParagraph"/>
        <w:numPr>
          <w:ilvl w:val="0"/>
          <w:numId w:val="2"/>
        </w:numPr>
        <w:spacing w:after="60" w:line="264"/>
      </w:pPr>
      <w:r>
        <w:rPr>
          <w:b/>
          <w:bCs/>
        </w:rPr>
        <w:t xml:space="preserve">Le kit Ambassadeurs IA</w:t>
      </w:r>
      <w:r>
        <w:t xml:space="preserve">, pour monter et animer un réseau d’ambassadeurs à l’échelle de l’organisation. www.nextstart.ai/kit-ambassadeurs-ia/</w:t>
      </w:r>
    </w:p>
    <w:p>
      <w:pPr>
        <w:pStyle w:val="Heading1"/>
        <w:pageBreakBefore/>
      </w:pPr>
      <w:r>
        <w:t xml:space="preserve">Annexe A. Auto-évaluation : par où commencer ?</w:t>
      </w:r>
    </w:p>
    <w:p>
      <w:pPr>
        <w:spacing w:after="100" w:line="264"/>
      </w:pPr>
      <w:r>
        <w:t xml:space="preserve">Dix affirmations. Cochez celles qui sont vraies pour vous aujourd’hui, sans indulgence. Le total indique votre niveau de départ.</w:t>
      </w:r>
    </w:p>
    <w:p>
      <w:pPr>
        <w:pStyle w:val="ListParagraph"/>
        <w:numPr>
          <w:ilvl w:val="0"/>
          <w:numId w:val="5"/>
        </w:numPr>
        <w:spacing w:after="60" w:line="264"/>
      </w:pPr>
      <w:r>
        <w:t xml:space="preserve">J’utilise un outil d’IA générative validé par mon organisation au moins une fois par semaine pour mon travail.</w:t>
      </w:r>
    </w:p>
    <w:p>
      <w:pPr>
        <w:pStyle w:val="ListParagraph"/>
        <w:numPr>
          <w:ilvl w:val="0"/>
          <w:numId w:val="5"/>
        </w:numPr>
        <w:spacing w:after="60" w:line="264"/>
      </w:pPr>
      <w:r>
        <w:t xml:space="preserve">Je sais expliquer à un collègue quelles données ne doivent jamais être saisies dans l’outil, et pourquoi.</w:t>
      </w:r>
    </w:p>
    <w:p>
      <w:pPr>
        <w:pStyle w:val="ListParagraph"/>
        <w:numPr>
          <w:ilvl w:val="0"/>
          <w:numId w:val="5"/>
        </w:numPr>
        <w:spacing w:after="60" w:line="264"/>
      </w:pPr>
      <w:r>
        <w:t xml:space="preserve">J’écris mes prompts avec un rôle, un contexte, une tâche et un format, sans modèle.</w:t>
      </w:r>
    </w:p>
    <w:p>
      <w:pPr>
        <w:pStyle w:val="ListParagraph"/>
        <w:numPr>
          <w:ilvl w:val="0"/>
          <w:numId w:val="5"/>
        </w:numPr>
        <w:spacing w:after="60" w:line="264"/>
      </w:pPr>
      <w:r>
        <w:t xml:space="preserve">Quand une sortie cite un texte ou une décision, je l’ouvre dans la source officielle avant de la réutiliser.</w:t>
      </w:r>
    </w:p>
    <w:p>
      <w:pPr>
        <w:pStyle w:val="ListParagraph"/>
        <w:numPr>
          <w:ilvl w:val="0"/>
          <w:numId w:val="5"/>
        </w:numPr>
        <w:spacing w:after="60" w:line="264"/>
      </w:pPr>
      <w:r>
        <w:t xml:space="preserve">J’ai déjà fait extraire les clauses clés d’un contrat en tableau, avec citations, et vérifié le résultat.</w:t>
      </w:r>
    </w:p>
    <w:p>
      <w:pPr>
        <w:pStyle w:val="ListParagraph"/>
        <w:numPr>
          <w:ilvl w:val="0"/>
          <w:numId w:val="5"/>
        </w:numPr>
        <w:spacing w:after="60" w:line="264"/>
      </w:pPr>
      <w:r>
        <w:t xml:space="preserve">J’ai déjà comparé un contrat à nos positions standard avec l’IA, et j’ai su corriger ses qualifications.</w:t>
      </w:r>
    </w:p>
    <w:p>
      <w:pPr>
        <w:pStyle w:val="ListParagraph"/>
        <w:numPr>
          <w:ilvl w:val="0"/>
          <w:numId w:val="5"/>
        </w:numPr>
        <w:spacing w:after="60" w:line="264"/>
      </w:pPr>
      <w:r>
        <w:t xml:space="preserve">J’ai déjà rédigé un mémo avec l’IA en lui fournissant exclusivement des sources que j’avais vérifiées.</w:t>
      </w:r>
    </w:p>
    <w:p>
      <w:pPr>
        <w:pStyle w:val="ListParagraph"/>
        <w:numPr>
          <w:ilvl w:val="0"/>
          <w:numId w:val="5"/>
        </w:numPr>
        <w:spacing w:after="60" w:line="264"/>
      </w:pPr>
      <w:r>
        <w:t xml:space="preserve">J’ai déjà configuré un assistant persistant (agent, GPT, Project, Gem) avec des instructions et des documents de référence.</w:t>
      </w:r>
    </w:p>
    <w:p>
      <w:pPr>
        <w:pStyle w:val="ListParagraph"/>
        <w:numPr>
          <w:ilvl w:val="0"/>
          <w:numId w:val="5"/>
        </w:numPr>
        <w:spacing w:after="60" w:line="264"/>
      </w:pPr>
      <w:r>
        <w:t xml:space="preserve">J’ai déjà confié une tâche multi-étapes à un agent qui travaille dans mes fichiers, en validant chaque étape.</w:t>
      </w:r>
    </w:p>
    <w:p>
      <w:pPr>
        <w:pStyle w:val="ListParagraph"/>
        <w:numPr>
          <w:ilvl w:val="0"/>
          <w:numId w:val="5"/>
        </w:numPr>
        <w:spacing w:after="60" w:line="264"/>
      </w:pPr>
      <w:r>
        <w:t xml:space="preserve">Je tiens une bibliothèque de prompts que je partage avec l’équipe.</w:t>
      </w:r>
    </w:p>
    <w:p>
      <w:pPr>
        <w:spacing w:after="80"/>
      </w:pP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200"/>
        <w:gridCol w:w="7400"/>
      </w:tblGrid>
      <w:tr>
        <w:trPr>
          <w:cantSplit/>
          <w:tblHeader/>
        </w:trPr>
        <w:tc>
          <w:tcPr>
            <w:tcW w:type="dxa" w:w="2200"/>
            <w:shd w:fill="10213A" w:color="auto" w:val="clear"/>
            <w:tcMar>
              <w:top w:type="dxa" w:w="70"/>
              <w:left w:type="dxa" w:w="110"/>
              <w:bottom w:type="dxa" w:w="70"/>
              <w:right w:type="dxa" w:w="110"/>
            </w:tcMar>
          </w:tcPr>
          <w:p>
            <w:pPr>
              <w:spacing w:after="40" w:line="252"/>
            </w:pPr>
            <w:r>
              <w:rPr>
                <w:b/>
                <w:bCs/>
                <w:color w:val="FFFFFF"/>
                <w:sz w:val="19"/>
                <w:szCs w:val="19"/>
              </w:rPr>
              <w:t xml:space="preserve">Total</w:t>
            </w:r>
          </w:p>
        </w:tc>
        <w:tc>
          <w:tcPr>
            <w:tcW w:type="dxa" w:w="7400"/>
            <w:shd w:fill="10213A" w:color="auto" w:val="clear"/>
            <w:tcMar>
              <w:top w:type="dxa" w:w="70"/>
              <w:left w:type="dxa" w:w="110"/>
              <w:bottom w:type="dxa" w:w="70"/>
              <w:right w:type="dxa" w:w="110"/>
            </w:tcMar>
          </w:tcPr>
          <w:p>
            <w:pPr>
              <w:spacing w:after="40" w:line="252"/>
            </w:pPr>
            <w:r>
              <w:rPr>
                <w:b/>
                <w:bCs/>
                <w:color w:val="FFFFFF"/>
                <w:sz w:val="19"/>
                <w:szCs w:val="19"/>
              </w:rPr>
              <w:t xml:space="preserve">Point de départ conseillé</w:t>
            </w:r>
          </w:p>
        </w:tc>
      </w:tr>
      <w:tr>
        <w:trPr>
          <w:cantSplit/>
          <w:tblHeader w:val="false"/>
        </w:trPr>
        <w:tc>
          <w:tcPr>
            <w:tcW w:type="dxa" w:w="2200"/>
            <w:tcMar>
              <w:top w:type="dxa" w:w="70"/>
              <w:left w:type="dxa" w:w="110"/>
              <w:bottom w:type="dxa" w:w="70"/>
              <w:right w:type="dxa" w:w="110"/>
            </w:tcMar>
          </w:tcPr>
          <w:p>
            <w:pPr>
              <w:spacing w:after="40" w:line="252"/>
            </w:pPr>
            <w:r>
              <w:rPr>
                <w:sz w:val="19"/>
                <w:szCs w:val="19"/>
              </w:rPr>
              <w:t xml:space="preserve">0 à 3</w:t>
            </w:r>
          </w:p>
        </w:tc>
        <w:tc>
          <w:tcPr>
            <w:tcW w:type="dxa" w:w="7400"/>
            <w:tcMar>
              <w:top w:type="dxa" w:w="70"/>
              <w:left w:type="dxa" w:w="110"/>
              <w:bottom w:type="dxa" w:w="70"/>
              <w:right w:type="dxa" w:w="110"/>
            </w:tcMar>
          </w:tcPr>
          <w:p>
            <w:pPr>
              <w:spacing w:after="40" w:line="252"/>
            </w:pPr>
            <w:r>
              <w:rPr>
                <w:sz w:val="19"/>
                <w:szCs w:val="19"/>
              </w:rPr>
              <w:t xml:space="preserve">Niveau 1, en commençant par la partie 0 et la fiche 1. Deux semaines de rituel quotidien avant d’aller plus loin.</w:t>
            </w:r>
          </w:p>
        </w:tc>
      </w:tr>
      <w:tr>
        <w:trPr>
          <w:cantSplit/>
          <w:tblHeader w:val="false"/>
        </w:trPr>
        <w:tc>
          <w:tcPr>
            <w:tcW w:type="dxa" w:w="2200"/>
            <w:shd w:fill="F2F6FA" w:color="auto" w:val="clear"/>
            <w:tcMar>
              <w:top w:type="dxa" w:w="70"/>
              <w:left w:type="dxa" w:w="110"/>
              <w:bottom w:type="dxa" w:w="70"/>
              <w:right w:type="dxa" w:w="110"/>
            </w:tcMar>
          </w:tcPr>
          <w:p>
            <w:pPr>
              <w:spacing w:after="40" w:line="252"/>
            </w:pPr>
            <w:r>
              <w:rPr>
                <w:sz w:val="19"/>
                <w:szCs w:val="19"/>
              </w:rPr>
              <w:t xml:space="preserve">4 à 6</w:t>
            </w:r>
          </w:p>
        </w:tc>
        <w:tc>
          <w:tcPr>
            <w:tcW w:type="dxa" w:w="7400"/>
            <w:shd w:fill="F2F6FA" w:color="auto" w:val="clear"/>
            <w:tcMar>
              <w:top w:type="dxa" w:w="70"/>
              <w:left w:type="dxa" w:w="110"/>
              <w:bottom w:type="dxa" w:w="70"/>
              <w:right w:type="dxa" w:w="110"/>
            </w:tcMar>
          </w:tcPr>
          <w:p>
            <w:pPr>
              <w:spacing w:after="40" w:line="252"/>
            </w:pPr>
            <w:r>
              <w:rPr>
                <w:sz w:val="19"/>
                <w:szCs w:val="19"/>
              </w:rPr>
              <w:t xml:space="preserve">Niveau 2, en relisant d’abord la partie 0 (zone rouge et vérification). Refaites au passage les fiches 1, 2 et 9 sur un cas réel : elles calibrent le gabarit.</w:t>
            </w:r>
          </w:p>
        </w:tc>
      </w:tr>
      <w:tr>
        <w:trPr>
          <w:cantSplit/>
          <w:tblHeader w:val="false"/>
        </w:trPr>
        <w:tc>
          <w:tcPr>
            <w:tcW w:type="dxa" w:w="2200"/>
            <w:tcMar>
              <w:top w:type="dxa" w:w="70"/>
              <w:left w:type="dxa" w:w="110"/>
              <w:bottom w:type="dxa" w:w="70"/>
              <w:right w:type="dxa" w:w="110"/>
            </w:tcMar>
          </w:tcPr>
          <w:p>
            <w:pPr>
              <w:spacing w:after="40" w:line="252"/>
            </w:pPr>
            <w:r>
              <w:rPr>
                <w:sz w:val="19"/>
                <w:szCs w:val="19"/>
              </w:rPr>
              <w:t xml:space="preserve">7 à 8</w:t>
            </w:r>
          </w:p>
        </w:tc>
        <w:tc>
          <w:tcPr>
            <w:tcW w:type="dxa" w:w="7400"/>
            <w:tcMar>
              <w:top w:type="dxa" w:w="70"/>
              <w:left w:type="dxa" w:w="110"/>
              <w:bottom w:type="dxa" w:w="70"/>
              <w:right w:type="dxa" w:w="110"/>
            </w:tcMar>
          </w:tcPr>
          <w:p>
            <w:pPr>
              <w:spacing w:after="40" w:line="252"/>
            </w:pPr>
            <w:r>
              <w:rPr>
                <w:sz w:val="19"/>
                <w:szCs w:val="19"/>
              </w:rPr>
              <w:t xml:space="preserve">Niveau 3, avec la fiche 23 (playbook) ou la fiche 26 (premier niveau). Vous êtes le candidat naturel pour animer l’atelier d’équipe de la partie 4.</w:t>
            </w:r>
          </w:p>
        </w:tc>
      </w:tr>
      <w:tr>
        <w:trPr>
          <w:cantSplit/>
          <w:tblHeader w:val="false"/>
        </w:trPr>
        <w:tc>
          <w:tcPr>
            <w:tcW w:type="dxa" w:w="2200"/>
            <w:shd w:fill="F2F6FA" w:color="auto" w:val="clear"/>
            <w:tcMar>
              <w:top w:type="dxa" w:w="70"/>
              <w:left w:type="dxa" w:w="110"/>
              <w:bottom w:type="dxa" w:w="70"/>
              <w:right w:type="dxa" w:w="110"/>
            </w:tcMar>
          </w:tcPr>
          <w:p>
            <w:pPr>
              <w:spacing w:after="40" w:line="252"/>
            </w:pPr>
            <w:r>
              <w:rPr>
                <w:sz w:val="19"/>
                <w:szCs w:val="19"/>
              </w:rPr>
              <w:t xml:space="preserve">9 à 10</w:t>
            </w:r>
          </w:p>
        </w:tc>
        <w:tc>
          <w:tcPr>
            <w:tcW w:type="dxa" w:w="7400"/>
            <w:shd w:fill="F2F6FA" w:color="auto" w:val="clear"/>
            <w:tcMar>
              <w:top w:type="dxa" w:w="70"/>
              <w:left w:type="dxa" w:w="110"/>
              <w:bottom w:type="dxa" w:w="70"/>
              <w:right w:type="dxa" w:w="110"/>
            </w:tcMar>
          </w:tcPr>
          <w:p>
            <w:pPr>
              <w:spacing w:after="40" w:line="252"/>
            </w:pPr>
            <w:r>
              <w:rPr>
                <w:sz w:val="19"/>
                <w:szCs w:val="19"/>
              </w:rPr>
              <w:t xml:space="preserve">Directement la partie 4 : votre rôle est de déployer. Le kit est votre support d’animation.</w:t>
            </w:r>
          </w:p>
        </w:tc>
      </w:tr>
    </w:tbl>
    <w:p>
      <w:pPr>
        <w:pStyle w:val="Heading1"/>
        <w:pageBreakBefore/>
      </w:pPr>
      <w:r>
        <w:t xml:space="preserve">Annexe B. Gabarit de fiche pour votre bibliothèque d’équipe</w:t>
      </w:r>
    </w:p>
    <w:p>
      <w:pPr>
        <w:spacing w:after="100" w:line="264"/>
      </w:pPr>
      <w:r>
        <w:t xml:space="preserve">Reproduisez ce gabarit pour chaque prompt qui a fait ses preuves. Une fiche par cas d’usage, un propriétaire, une date de dernière revue. Les champs surlignés sont à remplir.</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600"/>
        <w:gridCol w:w="7000"/>
      </w:tblGrid>
      <w:tr>
        <w:trPr>
          <w:cantSplit/>
          <w:tblHeader/>
        </w:trPr>
        <w:tc>
          <w:tcPr>
            <w:tcW w:type="dxa" w:w="2600"/>
            <w:shd w:fill="10213A" w:color="auto" w:val="clear"/>
            <w:tcMar>
              <w:top w:type="dxa" w:w="70"/>
              <w:left w:type="dxa" w:w="110"/>
              <w:bottom w:type="dxa" w:w="70"/>
              <w:right w:type="dxa" w:w="110"/>
            </w:tcMar>
          </w:tcPr>
          <w:p>
            <w:pPr>
              <w:spacing w:after="40" w:line="252"/>
            </w:pPr>
            <w:r>
              <w:rPr>
                <w:b/>
                <w:bCs/>
                <w:color w:val="FFFFFF"/>
                <w:sz w:val="19"/>
                <w:szCs w:val="19"/>
              </w:rPr>
              <w:t xml:space="preserve">Champ</w:t>
            </w:r>
          </w:p>
        </w:tc>
        <w:tc>
          <w:tcPr>
            <w:tcW w:type="dxa" w:w="7000"/>
            <w:shd w:fill="10213A" w:color="auto" w:val="clear"/>
            <w:tcMar>
              <w:top w:type="dxa" w:w="70"/>
              <w:left w:type="dxa" w:w="110"/>
              <w:bottom w:type="dxa" w:w="70"/>
              <w:right w:type="dxa" w:w="110"/>
            </w:tcMar>
          </w:tcPr>
          <w:p>
            <w:pPr>
              <w:spacing w:after="40" w:line="252"/>
            </w:pPr>
            <w:r>
              <w:rPr>
                <w:b/>
                <w:bCs/>
                <w:color w:val="FFFFFF"/>
                <w:sz w:val="19"/>
                <w:szCs w:val="19"/>
              </w:rPr>
              <w:t xml:space="preserve">Contenu</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Titre du cas d’usage</w:t>
            </w:r>
          </w:p>
        </w:tc>
        <w:tc>
          <w:tcPr>
            <w:tcW w:type="dxa" w:w="7000"/>
            <w:tcMar>
              <w:top w:type="dxa" w:w="70"/>
              <w:left w:type="dxa" w:w="110"/>
              <w:bottom w:type="dxa" w:w="70"/>
              <w:right w:type="dxa" w:w="110"/>
            </w:tcMar>
          </w:tcPr>
          <w:p>
            <w:pPr>
              <w:spacing w:after="40" w:line="252"/>
            </w:pPr>
            <w:r>
              <w:rPr>
                <w:sz w:val="19"/>
                <w:szCs w:val="19"/>
                <w:highlight w:val="yellow"/>
              </w:rPr>
              <w:t xml:space="preserve">[verbe à l’infinitif + objet, par exemple « Extraire les échéances d’un bail »]</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Niveau et famille</w:t>
            </w:r>
          </w:p>
        </w:tc>
        <w:tc>
          <w:tcPr>
            <w:tcW w:type="dxa" w:w="7000"/>
            <w:shd w:fill="F2F6FA" w:color="auto" w:val="clear"/>
            <w:tcMar>
              <w:top w:type="dxa" w:w="70"/>
              <w:left w:type="dxa" w:w="110"/>
              <w:bottom w:type="dxa" w:w="70"/>
              <w:right w:type="dxa" w:w="110"/>
            </w:tcMar>
          </w:tcPr>
          <w:p>
            <w:pPr>
              <w:spacing w:after="40" w:line="252"/>
            </w:pPr>
            <w:r>
              <w:rPr>
                <w:sz w:val="19"/>
                <w:szCs w:val="19"/>
                <w:highlight w:val="yellow"/>
              </w:rPr>
              <w:t xml:space="preserve">[1, 2 ou 3]</w:t>
            </w:r>
            <w:r>
              <w:rPr>
                <w:sz w:val="19"/>
                <w:szCs w:val="19"/>
              </w:rPr>
              <w:t xml:space="preserve"> · </w:t>
            </w:r>
            <w:r>
              <w:rPr>
                <w:sz w:val="19"/>
                <w:szCs w:val="19"/>
                <w:highlight w:val="yellow"/>
              </w:rPr>
              <w:t xml:space="preserve">[analyse contractuelle, comparaison, rédaction, risques et conformité, recherche juridique, communication]</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Propriétaire et date de revue</w:t>
            </w:r>
          </w:p>
        </w:tc>
        <w:tc>
          <w:tcPr>
            <w:tcW w:type="dxa" w:w="7000"/>
            <w:tcMar>
              <w:top w:type="dxa" w:w="70"/>
              <w:left w:type="dxa" w:w="110"/>
              <w:bottom w:type="dxa" w:w="70"/>
              <w:right w:type="dxa" w:w="110"/>
            </w:tcMar>
          </w:tcPr>
          <w:p>
            <w:pPr>
              <w:spacing w:after="40" w:line="252"/>
            </w:pPr>
            <w:r>
              <w:rPr>
                <w:sz w:val="19"/>
                <w:szCs w:val="19"/>
                <w:highlight w:val="yellow"/>
              </w:rPr>
              <w:t xml:space="preserve">[nom]</w:t>
            </w:r>
            <w:r>
              <w:rPr>
                <w:sz w:val="19"/>
                <w:szCs w:val="19"/>
              </w:rPr>
              <w:t xml:space="preserve"> · dernière revue le </w:t>
            </w:r>
            <w:r>
              <w:rPr>
                <w:sz w:val="19"/>
                <w:szCs w:val="19"/>
                <w:highlight w:val="yellow"/>
              </w:rPr>
              <w:t xml:space="preserve">[date]</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La situation</w:t>
            </w:r>
          </w:p>
        </w:tc>
        <w:tc>
          <w:tcPr>
            <w:tcW w:type="dxa" w:w="7000"/>
            <w:shd w:fill="F2F6FA" w:color="auto" w:val="clear"/>
            <w:tcMar>
              <w:top w:type="dxa" w:w="70"/>
              <w:left w:type="dxa" w:w="110"/>
              <w:bottom w:type="dxa" w:w="70"/>
              <w:right w:type="dxa" w:w="110"/>
            </w:tcMar>
          </w:tcPr>
          <w:p>
            <w:pPr>
              <w:spacing w:after="40" w:line="252"/>
            </w:pPr>
            <w:r>
              <w:rPr>
                <w:sz w:val="19"/>
                <w:szCs w:val="19"/>
                <w:highlight w:val="yellow"/>
              </w:rPr>
              <w:t xml:space="preserve">[une phrase du quotidien]</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Ce que l’IA fait bien ici</w:t>
            </w:r>
          </w:p>
        </w:tc>
        <w:tc>
          <w:tcPr>
            <w:tcW w:type="dxa" w:w="7000"/>
            <w:tcMar>
              <w:top w:type="dxa" w:w="70"/>
              <w:left w:type="dxa" w:w="110"/>
              <w:bottom w:type="dxa" w:w="70"/>
              <w:right w:type="dxa" w:w="110"/>
            </w:tcMar>
          </w:tcPr>
          <w:p>
            <w:pPr>
              <w:spacing w:after="40" w:line="252"/>
            </w:pPr>
            <w:r>
              <w:rPr>
                <w:sz w:val="19"/>
                <w:szCs w:val="19"/>
                <w:highlight w:val="yellow"/>
              </w:rPr>
              <w:t xml:space="preserve">[deux ou trois points]</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Ce qu’elle ne fait pas</w:t>
            </w:r>
          </w:p>
        </w:tc>
        <w:tc>
          <w:tcPr>
            <w:tcW w:type="dxa" w:w="7000"/>
            <w:shd w:fill="F2F6FA" w:color="auto" w:val="clear"/>
            <w:tcMar>
              <w:top w:type="dxa" w:w="70"/>
              <w:left w:type="dxa" w:w="110"/>
              <w:bottom w:type="dxa" w:w="70"/>
              <w:right w:type="dxa" w:w="110"/>
            </w:tcMar>
          </w:tcPr>
          <w:p>
            <w:pPr>
              <w:spacing w:after="40" w:line="252"/>
            </w:pPr>
            <w:r>
              <w:rPr>
                <w:sz w:val="19"/>
                <w:szCs w:val="19"/>
                <w:highlight w:val="yellow"/>
              </w:rPr>
              <w:t xml:space="preserve">[deux ou trois points]</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À ne pas coller</w:t>
            </w:r>
          </w:p>
        </w:tc>
        <w:tc>
          <w:tcPr>
            <w:tcW w:type="dxa" w:w="7000"/>
            <w:tcMar>
              <w:top w:type="dxa" w:w="70"/>
              <w:left w:type="dxa" w:w="110"/>
              <w:bottom w:type="dxa" w:w="70"/>
              <w:right w:type="dxa" w:w="110"/>
            </w:tcMar>
          </w:tcPr>
          <w:p>
            <w:pPr>
              <w:spacing w:after="40" w:line="252"/>
            </w:pPr>
            <w:r>
              <w:rPr>
                <w:sz w:val="19"/>
                <w:szCs w:val="19"/>
                <w:highlight w:val="yellow"/>
              </w:rPr>
              <w:t xml:space="preserve">[données interdites pour ce cas, méthode de pseudonymisation]</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Le prompt</w:t>
            </w:r>
          </w:p>
        </w:tc>
        <w:tc>
          <w:tcPr>
            <w:tcW w:type="dxa" w:w="7000"/>
            <w:shd w:fill="F2F6FA" w:color="auto" w:val="clear"/>
            <w:tcMar>
              <w:top w:type="dxa" w:w="70"/>
              <w:left w:type="dxa" w:w="110"/>
              <w:bottom w:type="dxa" w:w="70"/>
              <w:right w:type="dxa" w:w="110"/>
            </w:tcMar>
          </w:tcPr>
          <w:p>
            <w:pPr>
              <w:spacing w:after="40" w:line="252"/>
            </w:pPr>
            <w:r>
              <w:rPr>
                <w:sz w:val="19"/>
                <w:szCs w:val="19"/>
              </w:rPr>
              <w:t xml:space="preserve">Rôle : </w:t>
            </w:r>
            <w:r>
              <w:rPr>
                <w:sz w:val="19"/>
                <w:szCs w:val="19"/>
                <w:highlight w:val="yellow"/>
              </w:rPr>
              <w:t xml:space="preserve">[…]</w:t>
            </w:r>
            <w:r>
              <w:rPr>
                <w:sz w:val="19"/>
                <w:szCs w:val="19"/>
              </w:rPr>
              <w:t xml:space="preserve">  Contexte : </w:t>
            </w:r>
            <w:r>
              <w:rPr>
                <w:sz w:val="19"/>
                <w:szCs w:val="19"/>
                <w:highlight w:val="yellow"/>
              </w:rPr>
              <w:t xml:space="preserve">[…]</w:t>
            </w:r>
            <w:r>
              <w:rPr>
                <w:sz w:val="19"/>
                <w:szCs w:val="19"/>
              </w:rPr>
              <w:t xml:space="preserve">  Tâche : </w:t>
            </w:r>
            <w:r>
              <w:rPr>
                <w:sz w:val="19"/>
                <w:szCs w:val="19"/>
                <w:highlight w:val="yellow"/>
              </w:rPr>
              <w:t xml:space="preserve">[…]</w:t>
            </w:r>
            <w:r>
              <w:rPr>
                <w:sz w:val="19"/>
                <w:szCs w:val="19"/>
              </w:rPr>
              <w:t xml:space="preserve">  Format : </w:t>
            </w:r>
            <w:r>
              <w:rPr>
                <w:sz w:val="19"/>
                <w:szCs w:val="19"/>
                <w:highlight w:val="yellow"/>
              </w:rPr>
              <w:t xml:space="preserve">[…]</w:t>
            </w:r>
            <w:r>
              <w:rPr>
                <w:sz w:val="19"/>
                <w:szCs w:val="19"/>
              </w:rPr>
              <w:t xml:space="preserve">  Vérification : </w:t>
            </w:r>
            <w:r>
              <w:rPr>
                <w:sz w:val="19"/>
                <w:szCs w:val="19"/>
                <w:highlight w:val="yellow"/>
              </w:rPr>
              <w:t xml:space="preserve">[…]</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Vérifier avant d’utiliser</w:t>
            </w:r>
          </w:p>
        </w:tc>
        <w:tc>
          <w:tcPr>
            <w:tcW w:type="dxa" w:w="7000"/>
            <w:tcMar>
              <w:top w:type="dxa" w:w="70"/>
              <w:left w:type="dxa" w:w="110"/>
              <w:bottom w:type="dxa" w:w="70"/>
              <w:right w:type="dxa" w:w="110"/>
            </w:tcMar>
          </w:tcPr>
          <w:p>
            <w:pPr>
              <w:spacing w:after="40" w:line="252"/>
            </w:pPr>
            <w:r>
              <w:rPr>
                <w:sz w:val="19"/>
                <w:szCs w:val="19"/>
                <w:highlight w:val="yellow"/>
              </w:rPr>
              <w:t xml:space="preserve">[deux ou trois contrôles concrets]</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Variante et note par outil</w:t>
            </w:r>
          </w:p>
        </w:tc>
        <w:tc>
          <w:tcPr>
            <w:tcW w:type="dxa" w:w="7000"/>
            <w:shd w:fill="F2F6FA" w:color="auto" w:val="clear"/>
            <w:tcMar>
              <w:top w:type="dxa" w:w="70"/>
              <w:left w:type="dxa" w:w="110"/>
              <w:bottom w:type="dxa" w:w="70"/>
              <w:right w:type="dxa" w:w="110"/>
            </w:tcMar>
          </w:tcPr>
          <w:p>
            <w:pPr>
              <w:spacing w:after="40" w:line="252"/>
            </w:pPr>
            <w:r>
              <w:rPr>
                <w:sz w:val="19"/>
                <w:szCs w:val="19"/>
                <w:highlight w:val="yellow"/>
              </w:rPr>
              <w:t xml:space="preserve">[relance utile ; différence d’un outil à l’autre]</w:t>
            </w:r>
          </w:p>
        </w:tc>
      </w:tr>
      <w:tr>
        <w:trPr>
          <w:cantSplit/>
          <w:tblHeader w:val="false"/>
        </w:trPr>
        <w:tc>
          <w:tcPr>
            <w:tcW w:type="dxa" w:w="2600"/>
            <w:tcMar>
              <w:top w:type="dxa" w:w="70"/>
              <w:left w:type="dxa" w:w="110"/>
              <w:bottom w:type="dxa" w:w="70"/>
              <w:right w:type="dxa" w:w="110"/>
            </w:tcMar>
          </w:tcPr>
          <w:p>
            <w:pPr>
              <w:spacing w:after="40" w:line="252"/>
            </w:pPr>
            <w:r>
              <w:rPr>
                <w:sz w:val="19"/>
                <w:szCs w:val="19"/>
              </w:rPr>
              <w:t xml:space="preserve">Temps gagné constaté</w:t>
            </w:r>
          </w:p>
        </w:tc>
        <w:tc>
          <w:tcPr>
            <w:tcW w:type="dxa" w:w="7000"/>
            <w:tcMar>
              <w:top w:type="dxa" w:w="70"/>
              <w:left w:type="dxa" w:w="110"/>
              <w:bottom w:type="dxa" w:w="70"/>
              <w:right w:type="dxa" w:w="110"/>
            </w:tcMar>
          </w:tcPr>
          <w:p>
            <w:pPr>
              <w:spacing w:after="40" w:line="252"/>
            </w:pPr>
            <w:r>
              <w:rPr>
                <w:sz w:val="19"/>
                <w:szCs w:val="19"/>
                <w:highlight w:val="yellow"/>
              </w:rPr>
              <w:t xml:space="preserve">[avant / après, relecture comprise]</w:t>
            </w:r>
          </w:p>
        </w:tc>
      </w:tr>
      <w:tr>
        <w:trPr>
          <w:cantSplit/>
          <w:tblHeader w:val="false"/>
        </w:trPr>
        <w:tc>
          <w:tcPr>
            <w:tcW w:type="dxa" w:w="2600"/>
            <w:shd w:fill="F2F6FA" w:color="auto" w:val="clear"/>
            <w:tcMar>
              <w:top w:type="dxa" w:w="70"/>
              <w:left w:type="dxa" w:w="110"/>
              <w:bottom w:type="dxa" w:w="70"/>
              <w:right w:type="dxa" w:w="110"/>
            </w:tcMar>
          </w:tcPr>
          <w:p>
            <w:pPr>
              <w:spacing w:after="40" w:line="252"/>
            </w:pPr>
            <w:r>
              <w:rPr>
                <w:sz w:val="19"/>
                <w:szCs w:val="19"/>
              </w:rPr>
              <w:t xml:space="preserve">Retours de l’équipe</w:t>
            </w:r>
          </w:p>
        </w:tc>
        <w:tc>
          <w:tcPr>
            <w:tcW w:type="dxa" w:w="7000"/>
            <w:shd w:fill="F2F6FA" w:color="auto" w:val="clear"/>
            <w:tcMar>
              <w:top w:type="dxa" w:w="70"/>
              <w:left w:type="dxa" w:w="110"/>
              <w:bottom w:type="dxa" w:w="70"/>
              <w:right w:type="dxa" w:w="110"/>
            </w:tcMar>
          </w:tcPr>
          <w:p>
            <w:pPr>
              <w:spacing w:after="40" w:line="252"/>
            </w:pPr>
            <w:r>
              <w:rPr>
                <w:sz w:val="19"/>
                <w:szCs w:val="19"/>
                <w:highlight w:val="yellow"/>
              </w:rPr>
              <w:t xml:space="preserve">[ce qui a raté, ce qui a été corrigé, date]</w:t>
            </w:r>
          </w:p>
        </w:tc>
      </w:tr>
    </w:tbl>
    <w:p>
      <w:pPr>
        <w:pStyle w:val="Heading1"/>
        <w:pageBreakBefore/>
      </w:pPr>
      <w:r>
        <w:t xml:space="preserve">Annexe C. La page à imprimer : vérification au recto, zone rouge au verso</w:t>
      </w:r>
    </w:p>
    <w:p>
      <w:pPr>
        <w:pStyle w:val="Heading2"/>
      </w:pPr>
      <w:r>
        <w:t xml:space="preserve">Recto. Avant de m’appuyer sur une sortie de l’IA</w:t>
      </w:r>
    </w:p>
    <w:p>
      <w:pPr>
        <w:pStyle w:val="ListParagraph"/>
        <w:numPr>
          <w:ilvl w:val="0"/>
          <w:numId w:val="5"/>
        </w:numPr>
        <w:spacing w:after="60" w:line="264"/>
      </w:pPr>
      <w:r>
        <w:t xml:space="preserve">J’ai relu la sortie en entier, pas seulement la conclusion.</w:t>
      </w:r>
    </w:p>
    <w:p>
      <w:pPr>
        <w:pStyle w:val="ListParagraph"/>
        <w:numPr>
          <w:ilvl w:val="0"/>
          <w:numId w:val="5"/>
        </w:numPr>
        <w:spacing w:after="60" w:line="264"/>
      </w:pPr>
      <w:r>
        <w:t xml:space="preserve">Chaque référence citée (texte, article, décision, date) a été ouverte dans la source officielle et dit ce que la sortie lui fait dire.</w:t>
      </w:r>
    </w:p>
    <w:p>
      <w:pPr>
        <w:pStyle w:val="ListParagraph"/>
        <w:numPr>
          <w:ilvl w:val="0"/>
          <w:numId w:val="5"/>
        </w:numPr>
        <w:spacing w:after="60" w:line="264"/>
      </w:pPr>
      <w:r>
        <w:t xml:space="preserve">Chaque citation d’un document a été retrouvée dans le document, mot pour mot.</w:t>
      </w:r>
    </w:p>
    <w:p>
      <w:pPr>
        <w:pStyle w:val="ListParagraph"/>
        <w:numPr>
          <w:ilvl w:val="0"/>
          <w:numId w:val="5"/>
        </w:numPr>
        <w:spacing w:after="60" w:line="264"/>
      </w:pPr>
      <w:r>
        <w:t xml:space="preserve">Les chiffres, dates, montants et noms de parties sont ceux de mes documents, sans glissement.</w:t>
      </w:r>
    </w:p>
    <w:p>
      <w:pPr>
        <w:pStyle w:val="ListParagraph"/>
        <w:numPr>
          <w:ilvl w:val="0"/>
          <w:numId w:val="5"/>
        </w:numPr>
        <w:spacing w:after="60" w:line="264"/>
      </w:pPr>
      <w:r>
        <w:t xml:space="preserve">Là où l’IA a écrit « non précisé », « à vérifier » ou « source à rechercher », j’ai fait le travail.</w:t>
      </w:r>
    </w:p>
    <w:p>
      <w:pPr>
        <w:pStyle w:val="ListParagraph"/>
        <w:numPr>
          <w:ilvl w:val="0"/>
          <w:numId w:val="5"/>
        </w:numPr>
        <w:spacing w:after="60" w:line="264"/>
      </w:pPr>
      <w:r>
        <w:t xml:space="preserve">La sortie n’affirme rien que mes documents ou mes sources ne disent pas.</w:t>
      </w:r>
    </w:p>
    <w:p>
      <w:pPr>
        <w:pStyle w:val="ListParagraph"/>
        <w:numPr>
          <w:ilvl w:val="0"/>
          <w:numId w:val="5"/>
        </w:numPr>
        <w:spacing w:after="60" w:line="264"/>
      </w:pPr>
      <w:r>
        <w:t xml:space="preserve">Dans une clause réciproque, l’IA n’a pas confondu les parties.</w:t>
      </w:r>
    </w:p>
    <w:p>
      <w:pPr>
        <w:pStyle w:val="ListParagraph"/>
        <w:numPr>
          <w:ilvl w:val="0"/>
          <w:numId w:val="5"/>
        </w:numPr>
        <w:spacing w:after="60" w:line="264"/>
      </w:pPr>
      <w:r>
        <w:t xml:space="preserve">La recommandation ou la conclusion est la mienne, pas une reformulation qui l’a déplacée.</w:t>
      </w:r>
    </w:p>
    <w:p>
      <w:pPr>
        <w:pStyle w:val="ListParagraph"/>
        <w:numPr>
          <w:ilvl w:val="0"/>
          <w:numId w:val="5"/>
        </w:numPr>
        <w:spacing w:after="60" w:line="264"/>
      </w:pPr>
      <w:r>
        <w:t xml:space="preserve">Je signerais ce texte tel quel sous mon nom. Sinon, ce n’est pas fini.</w:t>
      </w:r>
    </w:p>
    <w:p>
      <w:pPr>
        <w:pStyle w:val="ListParagraph"/>
        <w:numPr>
          <w:ilvl w:val="0"/>
          <w:numId w:val="5"/>
        </w:numPr>
        <w:spacing w:after="60" w:line="264"/>
      </w:pPr>
      <w:r>
        <w:t xml:space="preserve">J’ai noté dans la bibliothèque ce qui a raté, si quelque chose a raté.</w:t>
      </w:r>
    </w:p>
    <w:p>
      <w:pPr>
        <w:spacing w:after="120"/>
      </w:pPr>
    </w:p>
    <w:p>
      <w:pPr>
        <w:pStyle w:val="Heading2"/>
      </w:pPr>
      <w:r>
        <w:t xml:space="preserve">Verso. Ce que je ne saisis jamais</w:t>
      </w:r>
    </w:p>
    <w:p>
      <w:pPr>
        <w:pStyle w:val="ListParagraph"/>
        <w:numPr>
          <w:ilvl w:val="0"/>
          <w:numId w:val="5"/>
        </w:numPr>
        <w:spacing w:after="60" w:line="264"/>
      </w:pPr>
      <w:r>
        <w:t xml:space="preserve">Des données personnelles qui ne sont pas nécessaires à la tâche : noms, coordonnées, numéros de contrat, données de santé, données bancaires, situation individuelle d’un salarié. Je remplace par des rôles et des génériques.</w:t>
      </w:r>
    </w:p>
    <w:p>
      <w:pPr>
        <w:pStyle w:val="ListParagraph"/>
        <w:numPr>
          <w:ilvl w:val="0"/>
          <w:numId w:val="5"/>
        </w:numPr>
        <w:spacing w:after="60" w:line="264"/>
      </w:pPr>
      <w:r>
        <w:t xml:space="preserve">Des informations couvertes par un secret ou un privilège : consultations d’avocat, stratégie contentieuse, pièces d’un dossier pénal. Uniquement dans un espace validé par la DSI et le cabinet.</w:t>
      </w:r>
    </w:p>
    <w:p>
      <w:pPr>
        <w:pStyle w:val="ListParagraph"/>
        <w:numPr>
          <w:ilvl w:val="0"/>
          <w:numId w:val="5"/>
        </w:numPr>
        <w:spacing w:after="60" w:line="264"/>
      </w:pPr>
      <w:r>
        <w:t xml:space="preserve">Des informations confidentielles de tiers : documents reçus sous accord de confidentialité, données de partenaires, informations de concurrents obtenues en due diligence. La clause de confidentialité interdit souvent tout tiers non contractualisé.</w:t>
      </w:r>
    </w:p>
    <w:p>
      <w:pPr>
        <w:pStyle w:val="ListParagraph"/>
        <w:numPr>
          <w:ilvl w:val="0"/>
          <w:numId w:val="5"/>
        </w:numPr>
        <w:spacing w:after="60" w:line="264"/>
      </w:pPr>
      <w:r>
        <w:t xml:space="preserve">Des secrets d’affaires et des informations privilégiées : projets d’acquisition, résultats non publiés, prix de revient, feuilles de route.</w:t>
      </w:r>
    </w:p>
    <w:p>
      <w:pPr>
        <w:pStyle w:val="ListParagraph"/>
        <w:numPr>
          <w:ilvl w:val="0"/>
          <w:numId w:val="5"/>
        </w:numPr>
        <w:spacing w:after="60" w:line="264"/>
      </w:pPr>
      <w:r>
        <w:t xml:space="preserve">Des éléments de sécurité : mots de passe, clés d’accès, schémas d’architecture, procédures de sécurité.</w:t>
      </w:r>
    </w:p>
    <w:p>
      <w:pPr>
        <w:pStyle w:val="ListParagraph"/>
        <w:numPr>
          <w:ilvl w:val="0"/>
          <w:numId w:val="5"/>
        </w:numPr>
        <w:spacing w:after="60" w:line="264"/>
      </w:pPr>
      <w:r>
        <w:t xml:space="preserve">Quoi que ce soit dans un outil gratuit ou un compte personnel. L’outil validé par la DSI, et lui seul.</w:t>
      </w:r>
    </w:p>
    <w:p>
      <w:pPr>
        <w:pStyle w:val="Heading1"/>
        <w:pageBreakBefore/>
      </w:pPr>
      <w:r>
        <w:t xml:space="preserve">Annexe D. Correspondance par outil</w:t>
      </w:r>
    </w:p>
    <w:p>
      <w:pPr>
        <w:spacing w:after="100" w:line="264"/>
      </w:pPr>
      <w:r>
        <w:t xml:space="preserve">Les prompts du kit fonctionnent dans tous les assistants généralistes. Ce qui change d’un outil à l’autre, c’est le nom des fonctions du niveau 3 et la façon de joindre des documents. Le tableau ci-dessous est à jour de septembre 2026 ; les noms de produits évoluent vite, la logique reste.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100"/>
        <w:gridCol w:w="1500"/>
        <w:gridCol w:w="1500"/>
        <w:gridCol w:w="1500"/>
        <w:gridCol w:w="1500"/>
        <w:gridCol w:w="1500"/>
      </w:tblGrid>
      <w:tr>
        <w:trPr>
          <w:cantSplit/>
          <w:tblHeader/>
        </w:trPr>
        <w:tc>
          <w:tcPr>
            <w:tcW w:type="dxa" w:w="2100"/>
            <w:shd w:fill="10213A" w:color="auto" w:val="clear"/>
            <w:tcMar>
              <w:top w:type="dxa" w:w="70"/>
              <w:left w:type="dxa" w:w="110"/>
              <w:bottom w:type="dxa" w:w="70"/>
              <w:right w:type="dxa" w:w="110"/>
            </w:tcMar>
          </w:tcPr>
          <w:p>
            <w:pPr>
              <w:spacing w:after="40" w:line="252"/>
            </w:pPr>
            <w:r>
              <w:rPr>
                <w:b/>
                <w:bCs/>
                <w:color w:val="FFFFFF"/>
                <w:sz w:val="19"/>
                <w:szCs w:val="19"/>
              </w:rPr>
              <w:t xml:space="preserve">Fonction</w:t>
            </w:r>
          </w:p>
        </w:tc>
        <w:tc>
          <w:tcPr>
            <w:tcW w:type="dxa" w:w="1500"/>
            <w:shd w:fill="10213A" w:color="auto" w:val="clear"/>
            <w:tcMar>
              <w:top w:type="dxa" w:w="70"/>
              <w:left w:type="dxa" w:w="110"/>
              <w:bottom w:type="dxa" w:w="70"/>
              <w:right w:type="dxa" w:w="110"/>
            </w:tcMar>
          </w:tcPr>
          <w:p>
            <w:pPr>
              <w:spacing w:after="40" w:line="252"/>
            </w:pPr>
            <w:r>
              <w:rPr>
                <w:b/>
                <w:bCs/>
                <w:color w:val="FFFFFF"/>
                <w:sz w:val="19"/>
                <w:szCs w:val="19"/>
              </w:rPr>
              <w:t xml:space="preserve">Microsoft 365 Copilot</w:t>
            </w:r>
          </w:p>
        </w:tc>
        <w:tc>
          <w:tcPr>
            <w:tcW w:type="dxa" w:w="1500"/>
            <w:shd w:fill="10213A" w:color="auto" w:val="clear"/>
            <w:tcMar>
              <w:top w:type="dxa" w:w="70"/>
              <w:left w:type="dxa" w:w="110"/>
              <w:bottom w:type="dxa" w:w="70"/>
              <w:right w:type="dxa" w:w="110"/>
            </w:tcMar>
          </w:tcPr>
          <w:p>
            <w:pPr>
              <w:spacing w:after="40" w:line="252"/>
            </w:pPr>
            <w:r>
              <w:rPr>
                <w:b/>
                <w:bCs/>
                <w:color w:val="FFFFFF"/>
                <w:sz w:val="19"/>
                <w:szCs w:val="19"/>
              </w:rPr>
              <w:t xml:space="preserve">ChatGPT</w:t>
            </w:r>
          </w:p>
        </w:tc>
        <w:tc>
          <w:tcPr>
            <w:tcW w:type="dxa" w:w="1500"/>
            <w:shd w:fill="10213A" w:color="auto" w:val="clear"/>
            <w:tcMar>
              <w:top w:type="dxa" w:w="70"/>
              <w:left w:type="dxa" w:w="110"/>
              <w:bottom w:type="dxa" w:w="70"/>
              <w:right w:type="dxa" w:w="110"/>
            </w:tcMar>
          </w:tcPr>
          <w:p>
            <w:pPr>
              <w:spacing w:after="40" w:line="252"/>
            </w:pPr>
            <w:r>
              <w:rPr>
                <w:b/>
                <w:bCs/>
                <w:color w:val="FFFFFF"/>
                <w:sz w:val="19"/>
                <w:szCs w:val="19"/>
              </w:rPr>
              <w:t xml:space="preserve">Claude</w:t>
            </w:r>
          </w:p>
        </w:tc>
        <w:tc>
          <w:tcPr>
            <w:tcW w:type="dxa" w:w="1500"/>
            <w:shd w:fill="10213A" w:color="auto" w:val="clear"/>
            <w:tcMar>
              <w:top w:type="dxa" w:w="70"/>
              <w:left w:type="dxa" w:w="110"/>
              <w:bottom w:type="dxa" w:w="70"/>
              <w:right w:type="dxa" w:w="110"/>
            </w:tcMar>
          </w:tcPr>
          <w:p>
            <w:pPr>
              <w:spacing w:after="40" w:line="252"/>
            </w:pPr>
            <w:r>
              <w:rPr>
                <w:b/>
                <w:bCs/>
                <w:color w:val="FFFFFF"/>
                <w:sz w:val="19"/>
                <w:szCs w:val="19"/>
              </w:rPr>
              <w:t xml:space="preserve">Gemini</w:t>
            </w:r>
          </w:p>
        </w:tc>
        <w:tc>
          <w:tcPr>
            <w:tcW w:type="dxa" w:w="1500"/>
            <w:shd w:fill="10213A" w:color="auto" w:val="clear"/>
            <w:tcMar>
              <w:top w:type="dxa" w:w="70"/>
              <w:left w:type="dxa" w:w="110"/>
              <w:bottom w:type="dxa" w:w="70"/>
              <w:right w:type="dxa" w:w="110"/>
            </w:tcMar>
          </w:tcPr>
          <w:p>
            <w:pPr>
              <w:spacing w:after="40" w:line="252"/>
            </w:pPr>
            <w:r>
              <w:rPr>
                <w:b/>
                <w:bCs/>
                <w:color w:val="FFFFFF"/>
                <w:sz w:val="19"/>
                <w:szCs w:val="19"/>
              </w:rPr>
              <w:t xml:space="preserve">Mistral</w:t>
            </w:r>
          </w:p>
        </w:tc>
      </w:tr>
      <w:tr>
        <w:trPr>
          <w:cantSplit/>
          <w:tblHeader w:val="false"/>
        </w:trPr>
        <w:tc>
          <w:tcPr>
            <w:tcW w:type="dxa" w:w="2100"/>
            <w:tcMar>
              <w:top w:type="dxa" w:w="70"/>
              <w:left w:type="dxa" w:w="110"/>
              <w:bottom w:type="dxa" w:w="70"/>
              <w:right w:type="dxa" w:w="110"/>
            </w:tcMar>
          </w:tcPr>
          <w:p>
            <w:pPr>
              <w:spacing w:after="40" w:line="252"/>
            </w:pPr>
            <w:r>
              <w:rPr>
                <w:sz w:val="19"/>
                <w:szCs w:val="19"/>
              </w:rPr>
              <w:t xml:space="preserve">Joindre un document ou un PDF</w:t>
            </w:r>
          </w:p>
        </w:tc>
        <w:tc>
          <w:tcPr>
            <w:tcW w:type="dxa" w:w="1500"/>
            <w:tcMar>
              <w:top w:type="dxa" w:w="70"/>
              <w:left w:type="dxa" w:w="110"/>
              <w:bottom w:type="dxa" w:w="70"/>
              <w:right w:type="dxa" w:w="110"/>
            </w:tcMar>
          </w:tcPr>
          <w:p>
            <w:pPr>
              <w:spacing w:after="40" w:line="252"/>
            </w:pPr>
            <w:r>
              <w:rPr>
                <w:sz w:val="19"/>
                <w:szCs w:val="19"/>
              </w:rPr>
              <w:t xml:space="preserve">Trombone dans Copilot Chat, fichiers OneDrive et SharePoint</w:t>
            </w:r>
          </w:p>
        </w:tc>
        <w:tc>
          <w:tcPr>
            <w:tcW w:type="dxa" w:w="1500"/>
            <w:tcMar>
              <w:top w:type="dxa" w:w="70"/>
              <w:left w:type="dxa" w:w="110"/>
              <w:bottom w:type="dxa" w:w="70"/>
              <w:right w:type="dxa" w:w="110"/>
            </w:tcMar>
          </w:tcPr>
          <w:p>
            <w:pPr>
              <w:spacing w:after="40" w:line="252"/>
            </w:pPr>
            <w:r>
              <w:rPr>
                <w:sz w:val="19"/>
                <w:szCs w:val="19"/>
              </w:rPr>
              <w:t xml:space="preserve">Trombone, connecteurs Drive et SharePoint</w:t>
            </w:r>
          </w:p>
        </w:tc>
        <w:tc>
          <w:tcPr>
            <w:tcW w:type="dxa" w:w="1500"/>
            <w:tcMar>
              <w:top w:type="dxa" w:w="70"/>
              <w:left w:type="dxa" w:w="110"/>
              <w:bottom w:type="dxa" w:w="70"/>
              <w:right w:type="dxa" w:w="110"/>
            </w:tcMar>
          </w:tcPr>
          <w:p>
            <w:pPr>
              <w:spacing w:after="40" w:line="252"/>
            </w:pPr>
            <w:r>
              <w:rPr>
                <w:sz w:val="19"/>
                <w:szCs w:val="19"/>
              </w:rPr>
              <w:t xml:space="preserve">Trombone, connecteurs</w:t>
            </w:r>
          </w:p>
        </w:tc>
        <w:tc>
          <w:tcPr>
            <w:tcW w:type="dxa" w:w="1500"/>
            <w:tcMar>
              <w:top w:type="dxa" w:w="70"/>
              <w:left w:type="dxa" w:w="110"/>
              <w:bottom w:type="dxa" w:w="70"/>
              <w:right w:type="dxa" w:w="110"/>
            </w:tcMar>
          </w:tcPr>
          <w:p>
            <w:pPr>
              <w:spacing w:after="40" w:line="252"/>
            </w:pPr>
            <w:r>
              <w:rPr>
                <w:sz w:val="19"/>
                <w:szCs w:val="19"/>
              </w:rPr>
              <w:t xml:space="preserve">Trombone, Drive</w:t>
            </w:r>
          </w:p>
        </w:tc>
        <w:tc>
          <w:tcPr>
            <w:tcW w:type="dxa" w:w="1500"/>
            <w:tcMar>
              <w:top w:type="dxa" w:w="70"/>
              <w:left w:type="dxa" w:w="110"/>
              <w:bottom w:type="dxa" w:w="70"/>
              <w:right w:type="dxa" w:w="110"/>
            </w:tcMar>
          </w:tcPr>
          <w:p>
            <w:pPr>
              <w:spacing w:after="40" w:line="252"/>
            </w:pPr>
            <w:r>
              <w:rPr>
                <w:sz w:val="19"/>
                <w:szCs w:val="19"/>
              </w:rPr>
              <w:t xml:space="preserve">Trombone</w:t>
            </w:r>
          </w:p>
        </w:tc>
      </w:tr>
      <w:tr>
        <w:trPr>
          <w:cantSplit/>
          <w:tblHeader w:val="false"/>
        </w:trPr>
        <w:tc>
          <w:tcPr>
            <w:tcW w:type="dxa" w:w="2100"/>
            <w:shd w:fill="F2F6FA" w:color="auto" w:val="clear"/>
            <w:tcMar>
              <w:top w:type="dxa" w:w="70"/>
              <w:left w:type="dxa" w:w="110"/>
              <w:bottom w:type="dxa" w:w="70"/>
              <w:right w:type="dxa" w:w="110"/>
            </w:tcMar>
          </w:tcPr>
          <w:p>
            <w:pPr>
              <w:spacing w:after="40" w:line="252"/>
            </w:pPr>
            <w:r>
              <w:rPr>
                <w:sz w:val="19"/>
                <w:szCs w:val="19"/>
              </w:rPr>
              <w:t xml:space="preserve">Espace persistant avec instructions et documents (fiches 23, 26, 27)</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Agent créé avec Agent Builder ; Copilot Studio pour aller plus loin</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Project ou GPT personnalisé</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Project</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Gem</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Agent</w:t>
            </w:r>
          </w:p>
        </w:tc>
      </w:tr>
      <w:tr>
        <w:trPr>
          <w:cantSplit/>
          <w:tblHeader w:val="false"/>
        </w:trPr>
        <w:tc>
          <w:tcPr>
            <w:tcW w:type="dxa" w:w="2100"/>
            <w:tcMar>
              <w:top w:type="dxa" w:w="70"/>
              <w:left w:type="dxa" w:w="110"/>
              <w:bottom w:type="dxa" w:w="70"/>
              <w:right w:type="dxa" w:w="110"/>
            </w:tcMar>
          </w:tcPr>
          <w:p>
            <w:pPr>
              <w:spacing w:after="40" w:line="252"/>
            </w:pPr>
            <w:r>
              <w:rPr>
                <w:sz w:val="19"/>
                <w:szCs w:val="19"/>
              </w:rPr>
              <w:t xml:space="preserve">Recherche web et veille (fiche 24)</w:t>
            </w:r>
          </w:p>
        </w:tc>
        <w:tc>
          <w:tcPr>
            <w:tcW w:type="dxa" w:w="1500"/>
            <w:tcMar>
              <w:top w:type="dxa" w:w="70"/>
              <w:left w:type="dxa" w:w="110"/>
              <w:bottom w:type="dxa" w:w="70"/>
              <w:right w:type="dxa" w:w="110"/>
            </w:tcMar>
          </w:tcPr>
          <w:p>
            <w:pPr>
              <w:spacing w:after="40" w:line="252"/>
            </w:pPr>
            <w:r>
              <w:rPr>
                <w:sz w:val="19"/>
                <w:szCs w:val="19"/>
              </w:rPr>
              <w:t xml:space="preserve">Copilot avec accès web</w:t>
            </w:r>
          </w:p>
        </w:tc>
        <w:tc>
          <w:tcPr>
            <w:tcW w:type="dxa" w:w="1500"/>
            <w:tcMar>
              <w:top w:type="dxa" w:w="70"/>
              <w:left w:type="dxa" w:w="110"/>
              <w:bottom w:type="dxa" w:w="70"/>
              <w:right w:type="dxa" w:w="110"/>
            </w:tcMar>
          </w:tcPr>
          <w:p>
            <w:pPr>
              <w:spacing w:after="40" w:line="252"/>
            </w:pPr>
            <w:r>
              <w:rPr>
                <w:sz w:val="19"/>
                <w:szCs w:val="19"/>
              </w:rPr>
              <w:t xml:space="preserve">Recherche, recherche approfondie, tâches planifiées</w:t>
            </w:r>
          </w:p>
        </w:tc>
        <w:tc>
          <w:tcPr>
            <w:tcW w:type="dxa" w:w="1500"/>
            <w:tcMar>
              <w:top w:type="dxa" w:w="70"/>
              <w:left w:type="dxa" w:w="110"/>
              <w:bottom w:type="dxa" w:w="70"/>
              <w:right w:type="dxa" w:w="110"/>
            </w:tcMar>
          </w:tcPr>
          <w:p>
            <w:pPr>
              <w:spacing w:after="40" w:line="252"/>
            </w:pPr>
            <w:r>
              <w:rPr>
                <w:sz w:val="19"/>
                <w:szCs w:val="19"/>
              </w:rPr>
              <w:t xml:space="preserve">Recherche web</w:t>
            </w:r>
          </w:p>
        </w:tc>
        <w:tc>
          <w:tcPr>
            <w:tcW w:type="dxa" w:w="1500"/>
            <w:tcMar>
              <w:top w:type="dxa" w:w="70"/>
              <w:left w:type="dxa" w:w="110"/>
              <w:bottom w:type="dxa" w:w="70"/>
              <w:right w:type="dxa" w:w="110"/>
            </w:tcMar>
          </w:tcPr>
          <w:p>
            <w:pPr>
              <w:spacing w:after="40" w:line="252"/>
            </w:pPr>
            <w:r>
              <w:rPr>
                <w:sz w:val="19"/>
                <w:szCs w:val="19"/>
              </w:rPr>
              <w:t xml:space="preserve">Recherche, recherche approfondie</w:t>
            </w:r>
          </w:p>
        </w:tc>
        <w:tc>
          <w:tcPr>
            <w:tcW w:type="dxa" w:w="1500"/>
            <w:tcMar>
              <w:top w:type="dxa" w:w="70"/>
              <w:left w:type="dxa" w:w="110"/>
              <w:bottom w:type="dxa" w:w="70"/>
              <w:right w:type="dxa" w:w="110"/>
            </w:tcMar>
          </w:tcPr>
          <w:p>
            <w:pPr>
              <w:spacing w:after="40" w:line="252"/>
            </w:pPr>
            <w:r>
              <w:rPr>
                <w:sz w:val="19"/>
                <w:szCs w:val="19"/>
              </w:rPr>
              <w:t xml:space="preserve">Recherche web</w:t>
            </w:r>
          </w:p>
        </w:tc>
      </w:tr>
      <w:tr>
        <w:trPr>
          <w:cantSplit/>
          <w:tblHeader w:val="false"/>
        </w:trPr>
        <w:tc>
          <w:tcPr>
            <w:tcW w:type="dxa" w:w="2100"/>
            <w:shd w:fill="F2F6FA" w:color="auto" w:val="clear"/>
            <w:tcMar>
              <w:top w:type="dxa" w:w="70"/>
              <w:left w:type="dxa" w:w="110"/>
              <w:bottom w:type="dxa" w:w="70"/>
              <w:right w:type="dxa" w:w="110"/>
            </w:tcMar>
          </w:tcPr>
          <w:p>
            <w:pPr>
              <w:spacing w:after="40" w:line="252"/>
            </w:pPr>
            <w:r>
              <w:rPr>
                <w:sz w:val="19"/>
                <w:szCs w:val="19"/>
              </w:rPr>
              <w:t xml:space="preserve">Agent de mission dans vos fichiers (fiches 28 à 30)</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Copilot Cowork</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Mode agent</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Claude Cowork</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Selon offre Workspace</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Agents connectés</w:t>
            </w:r>
          </w:p>
        </w:tc>
      </w:tr>
      <w:tr>
        <w:trPr>
          <w:cantSplit/>
          <w:tblHeader w:val="false"/>
        </w:trPr>
        <w:tc>
          <w:tcPr>
            <w:tcW w:type="dxa" w:w="2100"/>
            <w:tcMar>
              <w:top w:type="dxa" w:w="70"/>
              <w:left w:type="dxa" w:w="110"/>
              <w:bottom w:type="dxa" w:w="70"/>
              <w:right w:type="dxa" w:w="110"/>
            </w:tcMar>
          </w:tcPr>
          <w:p>
            <w:pPr>
              <w:spacing w:after="40" w:line="252"/>
            </w:pPr>
            <w:r>
              <w:rPr>
                <w:sz w:val="19"/>
                <w:szCs w:val="19"/>
              </w:rPr>
              <w:t xml:space="preserve">Partage à l’équipe</w:t>
            </w:r>
          </w:p>
        </w:tc>
        <w:tc>
          <w:tcPr>
            <w:tcW w:type="dxa" w:w="1500"/>
            <w:tcMar>
              <w:top w:type="dxa" w:w="70"/>
              <w:left w:type="dxa" w:w="110"/>
              <w:bottom w:type="dxa" w:w="70"/>
              <w:right w:type="dxa" w:w="110"/>
            </w:tcMar>
          </w:tcPr>
          <w:p>
            <w:pPr>
              <w:spacing w:after="40" w:line="252"/>
            </w:pPr>
            <w:r>
              <w:rPr>
                <w:sz w:val="19"/>
                <w:szCs w:val="19"/>
              </w:rPr>
              <w:t xml:space="preserve">Agent publié dans Teams</w:t>
            </w:r>
          </w:p>
        </w:tc>
        <w:tc>
          <w:tcPr>
            <w:tcW w:type="dxa" w:w="1500"/>
            <w:tcMar>
              <w:top w:type="dxa" w:w="70"/>
              <w:left w:type="dxa" w:w="110"/>
              <w:bottom w:type="dxa" w:w="70"/>
              <w:right w:type="dxa" w:w="110"/>
            </w:tcMar>
          </w:tcPr>
          <w:p>
            <w:pPr>
              <w:spacing w:after="40" w:line="252"/>
            </w:pPr>
            <w:r>
              <w:rPr>
                <w:sz w:val="19"/>
                <w:szCs w:val="19"/>
              </w:rPr>
              <w:t xml:space="preserve">GPT ou Project partagé dans l’espace</w:t>
            </w:r>
          </w:p>
        </w:tc>
        <w:tc>
          <w:tcPr>
            <w:tcW w:type="dxa" w:w="1500"/>
            <w:tcMar>
              <w:top w:type="dxa" w:w="70"/>
              <w:left w:type="dxa" w:w="110"/>
              <w:bottom w:type="dxa" w:w="70"/>
              <w:right w:type="dxa" w:w="110"/>
            </w:tcMar>
          </w:tcPr>
          <w:p>
            <w:pPr>
              <w:spacing w:after="40" w:line="252"/>
            </w:pPr>
            <w:r>
              <w:rPr>
                <w:sz w:val="19"/>
                <w:szCs w:val="19"/>
              </w:rPr>
              <w:t xml:space="preserve">Project partagé</w:t>
            </w:r>
          </w:p>
        </w:tc>
        <w:tc>
          <w:tcPr>
            <w:tcW w:type="dxa" w:w="1500"/>
            <w:tcMar>
              <w:top w:type="dxa" w:w="70"/>
              <w:left w:type="dxa" w:w="110"/>
              <w:bottom w:type="dxa" w:w="70"/>
              <w:right w:type="dxa" w:w="110"/>
            </w:tcMar>
          </w:tcPr>
          <w:p>
            <w:pPr>
              <w:spacing w:after="40" w:line="252"/>
            </w:pPr>
            <w:r>
              <w:rPr>
                <w:sz w:val="19"/>
                <w:szCs w:val="19"/>
              </w:rPr>
              <w:t xml:space="preserve">Gem partagé</w:t>
            </w:r>
          </w:p>
        </w:tc>
        <w:tc>
          <w:tcPr>
            <w:tcW w:type="dxa" w:w="1500"/>
            <w:tcMar>
              <w:top w:type="dxa" w:w="70"/>
              <w:left w:type="dxa" w:w="110"/>
              <w:bottom w:type="dxa" w:w="70"/>
              <w:right w:type="dxa" w:w="110"/>
            </w:tcMar>
          </w:tcPr>
          <w:p>
            <w:pPr>
              <w:spacing w:after="40" w:line="252"/>
            </w:pPr>
            <w:r>
              <w:rPr>
                <w:sz w:val="19"/>
                <w:szCs w:val="19"/>
              </w:rPr>
              <w:t xml:space="preserve">Agent partagé</w:t>
            </w:r>
          </w:p>
        </w:tc>
      </w:tr>
      <w:tr>
        <w:trPr>
          <w:cantSplit/>
          <w:tblHeader w:val="false"/>
        </w:trPr>
        <w:tc>
          <w:tcPr>
            <w:tcW w:type="dxa" w:w="2100"/>
            <w:shd w:fill="F2F6FA" w:color="auto" w:val="clear"/>
            <w:tcMar>
              <w:top w:type="dxa" w:w="70"/>
              <w:left w:type="dxa" w:w="110"/>
              <w:bottom w:type="dxa" w:w="70"/>
              <w:right w:type="dxa" w:w="110"/>
            </w:tcMar>
          </w:tcPr>
          <w:p>
            <w:pPr>
              <w:spacing w:after="40" w:line="252"/>
            </w:pPr>
            <w:r>
              <w:rPr>
                <w:sz w:val="19"/>
                <w:szCs w:val="19"/>
              </w:rPr>
              <w:t xml:space="preserve">Point à vérifier avec la DSI</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Périmètre des sources SharePoint accessibles à l’agent</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Offre entreprise, non-réutilisation des données</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Offre entreprise ou Claude for Work</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Offre Workspace entreprise</w:t>
            </w:r>
          </w:p>
        </w:tc>
        <w:tc>
          <w:tcPr>
            <w:tcW w:type="dxa" w:w="1500"/>
            <w:shd w:fill="F2F6FA" w:color="auto" w:val="clear"/>
            <w:tcMar>
              <w:top w:type="dxa" w:w="70"/>
              <w:left w:type="dxa" w:w="110"/>
              <w:bottom w:type="dxa" w:w="70"/>
              <w:right w:type="dxa" w:w="110"/>
            </w:tcMar>
          </w:tcPr>
          <w:p>
            <w:pPr>
              <w:spacing w:after="40" w:line="252"/>
            </w:pPr>
            <w:r>
              <w:rPr>
                <w:sz w:val="19"/>
                <w:szCs w:val="19"/>
              </w:rPr>
              <w:t xml:space="preserve">Hébergement européen ou souverain</w:t>
            </w:r>
          </w:p>
        </w:tc>
      </w:tr>
    </w:tbl>
    <w:p>
      <w:pPr>
        <w:spacing w:after="100"/>
      </w:pPr>
    </w:p>
    <w:p>
      <w:pPr>
        <w:spacing w:after="100" w:line="264"/>
      </w:pPr>
      <w:r>
        <w:rPr>
          <w:b/>
          <w:bCs/>
        </w:rPr>
        <w:t xml:space="preserve">LLM interne.</w:t>
      </w:r>
      <w:r>
        <w:t xml:space="preserve"> Si votre organisation déploie son propre assistant (sur un modèle hébergé en interne ou chez un fournisseur souverain), les fiches des niveaux 1 et 2 s’appliquent sans changement. Le niveau 3 dépend des fonctions ouvertes par la DSI : demandez si des instructions persistantes, des documents de référence et des connecteurs sont disponibles.</w:t>
      </w:r>
    </w:p>
    <w:p>
      <w:pPr>
        <w:pStyle w:val="Heading1"/>
        <w:pageBreakBefore/>
      </w:pPr>
      <w:r>
        <w:t xml:space="preserve">Annexe E. Adapter le kit à votre secteur</w:t>
      </w:r>
    </w:p>
    <w:p>
      <w:pPr>
        <w:spacing w:after="100" w:line="264"/>
      </w:pPr>
      <w:r>
        <w:t xml:space="preserve">La zone rouge de la partie 0 est commune à toutes les directions juridiques. Chaque secteur y ajoute ses propres interdits et ses propres priorités. Les lignes ci-dessous sont des points de départ à compléter avec votre conformité et votre DSI.</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2200"/>
        <w:gridCol w:w="3700"/>
        <w:gridCol w:w="3700"/>
      </w:tblGrid>
      <w:tr>
        <w:trPr>
          <w:cantSplit/>
          <w:tblHeader/>
        </w:trPr>
        <w:tc>
          <w:tcPr>
            <w:tcW w:type="dxa" w:w="2200"/>
            <w:shd w:fill="10213A" w:color="auto" w:val="clear"/>
            <w:tcMar>
              <w:top w:type="dxa" w:w="70"/>
              <w:left w:type="dxa" w:w="110"/>
              <w:bottom w:type="dxa" w:w="70"/>
              <w:right w:type="dxa" w:w="110"/>
            </w:tcMar>
          </w:tcPr>
          <w:p>
            <w:pPr>
              <w:spacing w:after="40" w:line="252"/>
            </w:pPr>
            <w:r>
              <w:rPr>
                <w:b/>
                <w:bCs/>
                <w:color w:val="FFFFFF"/>
                <w:sz w:val="19"/>
                <w:szCs w:val="19"/>
              </w:rPr>
              <w:t xml:space="preserve">Secteur</w:t>
            </w:r>
          </w:p>
        </w:tc>
        <w:tc>
          <w:tcPr>
            <w:tcW w:type="dxa" w:w="3700"/>
            <w:shd w:fill="10213A" w:color="auto" w:val="clear"/>
            <w:tcMar>
              <w:top w:type="dxa" w:w="70"/>
              <w:left w:type="dxa" w:w="110"/>
              <w:bottom w:type="dxa" w:w="70"/>
              <w:right w:type="dxa" w:w="110"/>
            </w:tcMar>
          </w:tcPr>
          <w:p>
            <w:pPr>
              <w:spacing w:after="40" w:line="252"/>
            </w:pPr>
            <w:r>
              <w:rPr>
                <w:b/>
                <w:bCs/>
                <w:color w:val="FFFFFF"/>
                <w:sz w:val="19"/>
                <w:szCs w:val="19"/>
              </w:rPr>
              <w:t xml:space="preserve">Ce qui s’ajoute à la zone rouge</w:t>
            </w:r>
          </w:p>
        </w:tc>
        <w:tc>
          <w:tcPr>
            <w:tcW w:type="dxa" w:w="3700"/>
            <w:shd w:fill="10213A" w:color="auto" w:val="clear"/>
            <w:tcMar>
              <w:top w:type="dxa" w:w="70"/>
              <w:left w:type="dxa" w:w="110"/>
              <w:bottom w:type="dxa" w:w="70"/>
              <w:right w:type="dxa" w:w="110"/>
            </w:tcMar>
          </w:tcPr>
          <w:p>
            <w:pPr>
              <w:spacing w:after="40" w:line="252"/>
            </w:pPr>
            <w:r>
              <w:rPr>
                <w:b/>
                <w:bCs/>
                <w:color w:val="FFFFFF"/>
                <w:sz w:val="19"/>
                <w:szCs w:val="19"/>
              </w:rPr>
              <w:t xml:space="preserve">Fiches à prioriser et adaptations</w:t>
            </w:r>
          </w:p>
        </w:tc>
      </w:tr>
      <w:tr>
        <w:trPr>
          <w:cantSplit/>
          <w:tblHeader w:val="false"/>
        </w:trPr>
        <w:tc>
          <w:tcPr>
            <w:tcW w:type="dxa" w:w="2200"/>
            <w:tcMar>
              <w:top w:type="dxa" w:w="70"/>
              <w:left w:type="dxa" w:w="110"/>
              <w:bottom w:type="dxa" w:w="70"/>
              <w:right w:type="dxa" w:w="110"/>
            </w:tcMar>
          </w:tcPr>
          <w:p>
            <w:pPr>
              <w:spacing w:after="40" w:line="252"/>
            </w:pPr>
            <w:r>
              <w:rPr>
                <w:sz w:val="19"/>
                <w:szCs w:val="19"/>
              </w:rPr>
              <w:t xml:space="preserve">Banque et finance</w:t>
            </w:r>
          </w:p>
        </w:tc>
        <w:tc>
          <w:tcPr>
            <w:tcW w:type="dxa" w:w="3700"/>
            <w:tcMar>
              <w:top w:type="dxa" w:w="70"/>
              <w:left w:type="dxa" w:w="110"/>
              <w:bottom w:type="dxa" w:w="70"/>
              <w:right w:type="dxa" w:w="110"/>
            </w:tcMar>
          </w:tcPr>
          <w:p>
            <w:pPr>
              <w:spacing w:after="40" w:line="252"/>
            </w:pPr>
            <w:r>
              <w:rPr>
                <w:sz w:val="19"/>
                <w:szCs w:val="19"/>
              </w:rPr>
              <w:t xml:space="preserve">Secret bancaire, informations privilégiées, données de clients et de contreparties, dossiers de lutte contre le blanchiment</w:t>
            </w:r>
          </w:p>
        </w:tc>
        <w:tc>
          <w:tcPr>
            <w:tcW w:type="dxa" w:w="3700"/>
            <w:tcMar>
              <w:top w:type="dxa" w:w="70"/>
              <w:left w:type="dxa" w:w="110"/>
              <w:bottom w:type="dxa" w:w="70"/>
              <w:right w:type="dxa" w:w="110"/>
            </w:tcMar>
          </w:tcPr>
          <w:p>
            <w:pPr>
              <w:spacing w:after="40" w:line="252"/>
            </w:pPr>
            <w:r>
              <w:rPr>
                <w:sz w:val="19"/>
                <w:szCs w:val="19"/>
              </w:rPr>
              <w:t xml:space="preserve">Fiches 17, 19 et 21 avec les corpus sectoriels nommés ; la vigie (fiche 24) sur les publications des autorités de supervision ; aucun dossier client dans un outil non validé</w:t>
            </w:r>
          </w:p>
        </w:tc>
      </w:tr>
      <w:tr>
        <w:trPr>
          <w:cantSplit/>
          <w:tblHeader w:val="false"/>
        </w:trPr>
        <w:tc>
          <w:tcPr>
            <w:tcW w:type="dxa" w:w="2200"/>
            <w:shd w:fill="F2F6FA" w:color="auto" w:val="clear"/>
            <w:tcMar>
              <w:top w:type="dxa" w:w="70"/>
              <w:left w:type="dxa" w:w="110"/>
              <w:bottom w:type="dxa" w:w="70"/>
              <w:right w:type="dxa" w:w="110"/>
            </w:tcMar>
          </w:tcPr>
          <w:p>
            <w:pPr>
              <w:spacing w:after="40" w:line="252"/>
            </w:pPr>
            <w:r>
              <w:rPr>
                <w:sz w:val="19"/>
                <w:szCs w:val="19"/>
              </w:rPr>
              <w:t xml:space="preserve">Assurance et mutuelles</w:t>
            </w:r>
          </w:p>
        </w:tc>
        <w:tc>
          <w:tcPr>
            <w:tcW w:type="dxa" w:w="3700"/>
            <w:shd w:fill="F2F6FA" w:color="auto" w:val="clear"/>
            <w:tcMar>
              <w:top w:type="dxa" w:w="70"/>
              <w:left w:type="dxa" w:w="110"/>
              <w:bottom w:type="dxa" w:w="70"/>
              <w:right w:type="dxa" w:w="110"/>
            </w:tcMar>
          </w:tcPr>
          <w:p>
            <w:pPr>
              <w:spacing w:after="40" w:line="252"/>
            </w:pPr>
            <w:r>
              <w:rPr>
                <w:sz w:val="19"/>
                <w:szCs w:val="19"/>
              </w:rPr>
              <w:t xml:space="preserve">Données de santé des assurés, dossiers de sinistres, données d’adhérents</w:t>
            </w:r>
          </w:p>
        </w:tc>
        <w:tc>
          <w:tcPr>
            <w:tcW w:type="dxa" w:w="3700"/>
            <w:shd w:fill="F2F6FA" w:color="auto" w:val="clear"/>
            <w:tcMar>
              <w:top w:type="dxa" w:w="70"/>
              <w:left w:type="dxa" w:w="110"/>
              <w:bottom w:type="dxa" w:w="70"/>
              <w:right w:type="dxa" w:w="110"/>
            </w:tcMar>
          </w:tcPr>
          <w:p>
            <w:pPr>
              <w:spacing w:after="40" w:line="252"/>
            </w:pPr>
            <w:r>
              <w:rPr>
                <w:sz w:val="19"/>
                <w:szCs w:val="19"/>
              </w:rPr>
              <w:t xml:space="preserve">Fiche 18 (communication aux adhérents) et fiche 17 avec le corpus assurance ; pseudonymisation stricte des sinistres pour la fiche 22</w:t>
            </w:r>
          </w:p>
        </w:tc>
      </w:tr>
      <w:tr>
        <w:trPr>
          <w:cantSplit/>
          <w:tblHeader w:val="false"/>
        </w:trPr>
        <w:tc>
          <w:tcPr>
            <w:tcW w:type="dxa" w:w="2200"/>
            <w:tcMar>
              <w:top w:type="dxa" w:w="70"/>
              <w:left w:type="dxa" w:w="110"/>
              <w:bottom w:type="dxa" w:w="70"/>
              <w:right w:type="dxa" w:w="110"/>
            </w:tcMar>
          </w:tcPr>
          <w:p>
            <w:pPr>
              <w:spacing w:after="40" w:line="252"/>
            </w:pPr>
            <w:r>
              <w:rPr>
                <w:sz w:val="19"/>
                <w:szCs w:val="19"/>
              </w:rPr>
              <w:t xml:space="preserve">Santé et pharmacie</w:t>
            </w:r>
          </w:p>
        </w:tc>
        <w:tc>
          <w:tcPr>
            <w:tcW w:type="dxa" w:w="3700"/>
            <w:tcMar>
              <w:top w:type="dxa" w:w="70"/>
              <w:left w:type="dxa" w:w="110"/>
              <w:bottom w:type="dxa" w:w="70"/>
              <w:right w:type="dxa" w:w="110"/>
            </w:tcMar>
          </w:tcPr>
          <w:p>
            <w:pPr>
              <w:spacing w:after="40" w:line="252"/>
            </w:pPr>
            <w:r>
              <w:rPr>
                <w:sz w:val="19"/>
                <w:szCs w:val="19"/>
              </w:rPr>
              <w:t xml:space="preserve">Données de patients, données d’essais, pharmacovigilance, informations sur les produits non autorisés</w:t>
            </w:r>
          </w:p>
        </w:tc>
        <w:tc>
          <w:tcPr>
            <w:tcW w:type="dxa" w:w="3700"/>
            <w:tcMar>
              <w:top w:type="dxa" w:w="70"/>
              <w:left w:type="dxa" w:w="110"/>
              <w:bottom w:type="dxa" w:w="70"/>
              <w:right w:type="dxa" w:w="110"/>
            </w:tcMar>
          </w:tcPr>
          <w:p>
            <w:pPr>
              <w:spacing w:after="40" w:line="252"/>
            </w:pPr>
            <w:r>
              <w:rPr>
                <w:sz w:val="19"/>
                <w:szCs w:val="19"/>
              </w:rPr>
              <w:t xml:space="preserve">Fiches 11 et 12 sur les contrats d’essais et de recherche ; fiche 24 sur les autorités de santé ; environnement validé exclusivement</w:t>
            </w:r>
          </w:p>
        </w:tc>
      </w:tr>
      <w:tr>
        <w:trPr>
          <w:cantSplit/>
          <w:tblHeader w:val="false"/>
        </w:trPr>
        <w:tc>
          <w:tcPr>
            <w:tcW w:type="dxa" w:w="2200"/>
            <w:shd w:fill="F2F6FA" w:color="auto" w:val="clear"/>
            <w:tcMar>
              <w:top w:type="dxa" w:w="70"/>
              <w:left w:type="dxa" w:w="110"/>
              <w:bottom w:type="dxa" w:w="70"/>
              <w:right w:type="dxa" w:w="110"/>
            </w:tcMar>
          </w:tcPr>
          <w:p>
            <w:pPr>
              <w:spacing w:after="40" w:line="252"/>
            </w:pPr>
            <w:r>
              <w:rPr>
                <w:sz w:val="19"/>
                <w:szCs w:val="19"/>
              </w:rPr>
              <w:t xml:space="preserve">Défense, secteur public, industrie sensible</w:t>
            </w:r>
          </w:p>
        </w:tc>
        <w:tc>
          <w:tcPr>
            <w:tcW w:type="dxa" w:w="3700"/>
            <w:shd w:fill="F2F6FA" w:color="auto" w:val="clear"/>
            <w:tcMar>
              <w:top w:type="dxa" w:w="70"/>
              <w:left w:type="dxa" w:w="110"/>
              <w:bottom w:type="dxa" w:w="70"/>
              <w:right w:type="dxa" w:w="110"/>
            </w:tcMar>
          </w:tcPr>
          <w:p>
            <w:pPr>
              <w:spacing w:after="40" w:line="252"/>
            </w:pPr>
            <w:r>
              <w:rPr>
                <w:sz w:val="19"/>
                <w:szCs w:val="19"/>
              </w:rPr>
              <w:t xml:space="preserve">Informations classifiées ou à diffusion restreinte, données soumises au contrôle des exportations, marchés en cours</w:t>
            </w:r>
          </w:p>
        </w:tc>
        <w:tc>
          <w:tcPr>
            <w:tcW w:type="dxa" w:w="3700"/>
            <w:shd w:fill="F2F6FA" w:color="auto" w:val="clear"/>
            <w:tcMar>
              <w:top w:type="dxa" w:w="70"/>
              <w:left w:type="dxa" w:w="110"/>
              <w:bottom w:type="dxa" w:w="70"/>
              <w:right w:type="dxa" w:w="110"/>
            </w:tcMar>
          </w:tcPr>
          <w:p>
            <w:pPr>
              <w:spacing w:after="40" w:line="252"/>
            </w:pPr>
            <w:r>
              <w:rPr>
                <w:sz w:val="19"/>
                <w:szCs w:val="19"/>
              </w:rPr>
              <w:t xml:space="preserve">Outil interne ou souverain uniquement ; fiches 1, 8, 14 et 21 sur textes publics en priorité ; niveau 3 après validation formelle</w:t>
            </w:r>
          </w:p>
        </w:tc>
      </w:tr>
      <w:tr>
        <w:trPr>
          <w:cantSplit/>
          <w:tblHeader w:val="false"/>
        </w:trPr>
        <w:tc>
          <w:tcPr>
            <w:tcW w:type="dxa" w:w="2200"/>
            <w:tcMar>
              <w:top w:type="dxa" w:w="70"/>
              <w:left w:type="dxa" w:w="110"/>
              <w:bottom w:type="dxa" w:w="70"/>
              <w:right w:type="dxa" w:w="110"/>
            </w:tcMar>
          </w:tcPr>
          <w:p>
            <w:pPr>
              <w:spacing w:after="40" w:line="252"/>
            </w:pPr>
            <w:r>
              <w:rPr>
                <w:sz w:val="19"/>
                <w:szCs w:val="19"/>
              </w:rPr>
              <w:t xml:space="preserve">Industrie et services</w:t>
            </w:r>
          </w:p>
        </w:tc>
        <w:tc>
          <w:tcPr>
            <w:tcW w:type="dxa" w:w="3700"/>
            <w:tcMar>
              <w:top w:type="dxa" w:w="70"/>
              <w:left w:type="dxa" w:w="110"/>
              <w:bottom w:type="dxa" w:w="70"/>
              <w:right w:type="dxa" w:w="110"/>
            </w:tcMar>
          </w:tcPr>
          <w:p>
            <w:pPr>
              <w:spacing w:after="40" w:line="252"/>
            </w:pPr>
            <w:r>
              <w:rPr>
                <w:sz w:val="19"/>
                <w:szCs w:val="19"/>
              </w:rPr>
              <w:t xml:space="preserve">Secret des affaires, feuilles de route produit, données de fournisseurs sous accord de confidentialité</w:t>
            </w:r>
          </w:p>
        </w:tc>
        <w:tc>
          <w:tcPr>
            <w:tcW w:type="dxa" w:w="3700"/>
            <w:tcMar>
              <w:top w:type="dxa" w:w="70"/>
              <w:left w:type="dxa" w:w="110"/>
              <w:bottom w:type="dxa" w:w="70"/>
              <w:right w:type="dxa" w:w="110"/>
            </w:tcMar>
          </w:tcPr>
          <w:p>
            <w:pPr>
              <w:spacing w:after="40" w:line="252"/>
            </w:pPr>
            <w:r>
              <w:rPr>
                <w:sz w:val="19"/>
                <w:szCs w:val="19"/>
              </w:rPr>
              <w:t xml:space="preserve">Fiches 12, 13, 16 et 29 (portefeuille fournisseurs) ; le playbook (fiche 23) comme premier assistant</w:t>
            </w:r>
          </w:p>
        </w:tc>
      </w:tr>
      <w:tr>
        <w:trPr>
          <w:cantSplit/>
          <w:tblHeader w:val="false"/>
        </w:trPr>
        <w:tc>
          <w:tcPr>
            <w:tcW w:type="dxa" w:w="2200"/>
            <w:shd w:fill="F2F6FA" w:color="auto" w:val="clear"/>
            <w:tcMar>
              <w:top w:type="dxa" w:w="70"/>
              <w:left w:type="dxa" w:w="110"/>
              <w:bottom w:type="dxa" w:w="70"/>
              <w:right w:type="dxa" w:w="110"/>
            </w:tcMar>
          </w:tcPr>
          <w:p>
            <w:pPr>
              <w:spacing w:after="40" w:line="252"/>
            </w:pPr>
            <w:r>
              <w:rPr>
                <w:sz w:val="19"/>
                <w:szCs w:val="19"/>
              </w:rPr>
              <w:t xml:space="preserve">Établissements publics et associations</w:t>
            </w:r>
          </w:p>
        </w:tc>
        <w:tc>
          <w:tcPr>
            <w:tcW w:type="dxa" w:w="3700"/>
            <w:shd w:fill="F2F6FA" w:color="auto" w:val="clear"/>
            <w:tcMar>
              <w:top w:type="dxa" w:w="70"/>
              <w:left w:type="dxa" w:w="110"/>
              <w:bottom w:type="dxa" w:w="70"/>
              <w:right w:type="dxa" w:w="110"/>
            </w:tcMar>
          </w:tcPr>
          <w:p>
            <w:pPr>
              <w:spacing w:after="40" w:line="252"/>
            </w:pPr>
            <w:r>
              <w:rPr>
                <w:sz w:val="19"/>
                <w:szCs w:val="19"/>
              </w:rPr>
              <w:t xml:space="preserve">Données des usagers et des bénéficiaires, marchés publics en cours d’attribution</w:t>
            </w:r>
          </w:p>
        </w:tc>
        <w:tc>
          <w:tcPr>
            <w:tcW w:type="dxa" w:w="3700"/>
            <w:shd w:fill="F2F6FA" w:color="auto" w:val="clear"/>
            <w:tcMar>
              <w:top w:type="dxa" w:w="70"/>
              <w:left w:type="dxa" w:w="110"/>
              <w:bottom w:type="dxa" w:w="70"/>
              <w:right w:type="dxa" w:w="110"/>
            </w:tcMar>
          </w:tcPr>
          <w:p>
            <w:pPr>
              <w:spacing w:after="40" w:line="252"/>
            </w:pPr>
            <w:r>
              <w:rPr>
                <w:sz w:val="19"/>
                <w:szCs w:val="19"/>
              </w:rPr>
              <w:t xml:space="preserve">Fiches 2, 7 et 26 (expliquer, FAQ, premier niveau) pour les agents et les bénévoles ; fiche 17 avec le corpus de la commande publique</w:t>
            </w:r>
          </w:p>
        </w:tc>
      </w:tr>
    </w:tbl>
    <w:p>
      <w:pPr>
        <w:pStyle w:val="Heading1"/>
        <w:pageBreakBefore/>
      </w:pPr>
      <w:r>
        <w:t xml:space="preserve">Annexe F. Journal de progression</w:t>
      </w:r>
    </w:p>
    <w:p>
      <w:pPr>
        <w:spacing w:after="100" w:line="264"/>
      </w:pPr>
      <w:r>
        <w:t xml:space="preserve">Une ligne par fiche pratiquée sur un cas réel. Le journal sert à vous, pour voir le temps gagné ; à l’équipe, pour l’atelier ; et à l’organisation, comme trace de la mesure de maîtrise de l’IA. Nom : </w:t>
      </w:r>
      <w:r>
        <w:rPr>
          <w:highlight w:val="yellow"/>
        </w:rPr>
        <w:t xml:space="preserve">[nom]</w:t>
      </w:r>
      <w:r>
        <w:t xml:space="preserve">. Outil validé utilisé : </w:t>
      </w:r>
      <w:r>
        <w:rPr>
          <w:highlight w:val="yellow"/>
        </w:rPr>
        <w:t xml:space="preserve">[outil]</w:t>
      </w:r>
      <w:r>
        <w:t xml:space="preserve">. Période : du </w:t>
      </w:r>
      <w:r>
        <w:rPr>
          <w:highlight w:val="yellow"/>
        </w:rPr>
        <w:t xml:space="preserve">[date]</w:t>
      </w:r>
      <w:r>
        <w:t xml:space="preserve"> au </w:t>
      </w:r>
      <w:r>
        <w:rPr>
          <w:highlight w:val="yellow"/>
        </w:rPr>
        <w:t xml:space="preserve">[date]</w:t>
      </w:r>
      <w:r>
        <w:t xml:space="preserve">.</w:t>
      </w:r>
    </w:p>
    <w:tbl>
      <w:tblPr>
        <w:tblW w:type="dxa" w:w="9600"/>
        <w:tblBorders>
          <w:top w:val="single" w:color="C9D6E3" w:sz="4"/>
          <w:left w:val="single" w:color="C9D6E3" w:sz="4"/>
          <w:bottom w:val="single" w:color="C9D6E3" w:sz="4"/>
          <w:right w:val="single" w:color="C9D6E3" w:sz="4"/>
          <w:insideH w:val="single" w:color="auto" w:sz="4"/>
          <w:insideV w:val="single" w:color="auto" w:sz="4"/>
        </w:tblBorders>
      </w:tblPr>
      <w:tblGrid>
        <w:gridCol w:w="800"/>
        <w:gridCol w:w="1100"/>
        <w:gridCol w:w="3000"/>
        <w:gridCol w:w="1300"/>
        <w:gridCol w:w="1500"/>
        <w:gridCol w:w="900"/>
        <w:gridCol w:w="1000"/>
      </w:tblGrid>
      <w:tr>
        <w:trPr>
          <w:cantSplit/>
          <w:tblHeader/>
        </w:trPr>
        <w:tc>
          <w:tcPr>
            <w:tcW w:type="dxa" w:w="800"/>
            <w:shd w:fill="10213A" w:color="auto" w:val="clear"/>
            <w:tcMar>
              <w:top w:type="dxa" w:w="20"/>
              <w:left w:type="dxa" w:w="110"/>
              <w:bottom w:type="dxa" w:w="20"/>
              <w:right w:type="dxa" w:w="110"/>
            </w:tcMar>
          </w:tcPr>
          <w:p>
            <w:pPr>
              <w:spacing w:after="40" w:line="252"/>
            </w:pPr>
            <w:r>
              <w:rPr>
                <w:b/>
                <w:bCs/>
                <w:color w:val="FFFFFF"/>
                <w:sz w:val="19"/>
                <w:szCs w:val="19"/>
              </w:rPr>
              <w:t xml:space="preserve">Fiche</w:t>
            </w:r>
          </w:p>
        </w:tc>
        <w:tc>
          <w:tcPr>
            <w:tcW w:type="dxa" w:w="1100"/>
            <w:shd w:fill="10213A" w:color="auto" w:val="clear"/>
            <w:tcMar>
              <w:top w:type="dxa" w:w="20"/>
              <w:left w:type="dxa" w:w="110"/>
              <w:bottom w:type="dxa" w:w="20"/>
              <w:right w:type="dxa" w:w="110"/>
            </w:tcMar>
          </w:tcPr>
          <w:p>
            <w:pPr>
              <w:spacing w:after="40" w:line="252"/>
            </w:pPr>
            <w:r>
              <w:rPr>
                <w:b/>
                <w:bCs/>
                <w:color w:val="FFFFFF"/>
                <w:sz w:val="19"/>
                <w:szCs w:val="19"/>
              </w:rPr>
              <w:t xml:space="preserve">Date</w:t>
            </w:r>
          </w:p>
        </w:tc>
        <w:tc>
          <w:tcPr>
            <w:tcW w:type="dxa" w:w="3000"/>
            <w:shd w:fill="10213A" w:color="auto" w:val="clear"/>
            <w:tcMar>
              <w:top w:type="dxa" w:w="20"/>
              <w:left w:type="dxa" w:w="110"/>
              <w:bottom w:type="dxa" w:w="20"/>
              <w:right w:type="dxa" w:w="110"/>
            </w:tcMar>
          </w:tcPr>
          <w:p>
            <w:pPr>
              <w:spacing w:after="40" w:line="252"/>
            </w:pPr>
            <w:r>
              <w:rPr>
                <w:b/>
                <w:bCs/>
                <w:color w:val="FFFFFF"/>
                <w:sz w:val="19"/>
                <w:szCs w:val="19"/>
              </w:rPr>
              <w:t xml:space="preserve">Cas réel (pseudonymisé)</w:t>
            </w:r>
          </w:p>
        </w:tc>
        <w:tc>
          <w:tcPr>
            <w:tcW w:type="dxa" w:w="1300"/>
            <w:shd w:fill="10213A" w:color="auto" w:val="clear"/>
            <w:tcMar>
              <w:top w:type="dxa" w:w="20"/>
              <w:left w:type="dxa" w:w="110"/>
              <w:bottom w:type="dxa" w:w="20"/>
              <w:right w:type="dxa" w:w="110"/>
            </w:tcMar>
          </w:tcPr>
          <w:p>
            <w:pPr>
              <w:spacing w:after="40" w:line="252"/>
            </w:pPr>
            <w:r>
              <w:rPr>
                <w:b/>
                <w:bCs/>
                <w:color w:val="FFFFFF"/>
                <w:sz w:val="19"/>
                <w:szCs w:val="19"/>
              </w:rPr>
              <w:t xml:space="preserve">Temps sans outil</w:t>
            </w:r>
          </w:p>
        </w:tc>
        <w:tc>
          <w:tcPr>
            <w:tcW w:type="dxa" w:w="1500"/>
            <w:shd w:fill="10213A" w:color="auto" w:val="clear"/>
            <w:tcMar>
              <w:top w:type="dxa" w:w="20"/>
              <w:left w:type="dxa" w:w="110"/>
              <w:bottom w:type="dxa" w:w="20"/>
              <w:right w:type="dxa" w:w="110"/>
            </w:tcMar>
          </w:tcPr>
          <w:p>
            <w:pPr>
              <w:spacing w:after="40" w:line="252"/>
            </w:pPr>
            <w:r>
              <w:rPr>
                <w:b/>
                <w:bCs/>
                <w:color w:val="FFFFFF"/>
                <w:sz w:val="19"/>
                <w:szCs w:val="19"/>
              </w:rPr>
              <w:t xml:space="preserve">Temps avec, relecture comprise</w:t>
            </w:r>
          </w:p>
        </w:tc>
        <w:tc>
          <w:tcPr>
            <w:tcW w:type="dxa" w:w="900"/>
            <w:shd w:fill="10213A" w:color="auto" w:val="clear"/>
            <w:tcMar>
              <w:top w:type="dxa" w:w="20"/>
              <w:left w:type="dxa" w:w="110"/>
              <w:bottom w:type="dxa" w:w="20"/>
              <w:right w:type="dxa" w:w="110"/>
            </w:tcMar>
          </w:tcPr>
          <w:p>
            <w:pPr>
              <w:spacing w:after="40" w:line="252"/>
            </w:pPr>
            <w:r>
              <w:rPr>
                <w:b/>
                <w:bCs/>
                <w:color w:val="FFFFFF"/>
                <w:sz w:val="19"/>
                <w:szCs w:val="19"/>
              </w:rPr>
              <w:t xml:space="preserve">Vérifié</w:t>
            </w:r>
          </w:p>
        </w:tc>
        <w:tc>
          <w:tcPr>
            <w:tcW w:type="dxa" w:w="1000"/>
            <w:shd w:fill="10213A" w:color="auto" w:val="clear"/>
            <w:tcMar>
              <w:top w:type="dxa" w:w="20"/>
              <w:left w:type="dxa" w:w="110"/>
              <w:bottom w:type="dxa" w:w="20"/>
              <w:right w:type="dxa" w:w="110"/>
            </w:tcMar>
          </w:tcPr>
          <w:p>
            <w:pPr>
              <w:spacing w:after="40" w:line="252"/>
            </w:pPr>
            <w:r>
              <w:rPr>
                <w:b/>
                <w:bCs/>
                <w:color w:val="FFFFFF"/>
                <w:sz w:val="19"/>
                <w:szCs w:val="19"/>
              </w:rPr>
              <w:t xml:space="preserve">Gardé dans la bibliothèque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1</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2</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3</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4</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5</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6</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7</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8</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9</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10</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11</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12</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13</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14</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15</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16</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17</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18</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19</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20</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21</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22</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23</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24</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25</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26</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27</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28</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tcMar>
              <w:top w:type="dxa" w:w="20"/>
              <w:left w:type="dxa" w:w="110"/>
              <w:bottom w:type="dxa" w:w="20"/>
              <w:right w:type="dxa" w:w="110"/>
            </w:tcMar>
          </w:tcPr>
          <w:p>
            <w:pPr>
              <w:spacing w:after="40" w:line="252"/>
            </w:pPr>
            <w:r>
              <w:rPr>
                <w:sz w:val="19"/>
                <w:szCs w:val="19"/>
              </w:rPr>
              <w:t xml:space="preserve">29</w:t>
            </w:r>
          </w:p>
        </w:tc>
        <w:tc>
          <w:tcPr>
            <w:tcW w:type="dxa" w:w="1100"/>
            <w:tcMar>
              <w:top w:type="dxa" w:w="20"/>
              <w:left w:type="dxa" w:w="110"/>
              <w:bottom w:type="dxa" w:w="20"/>
              <w:right w:type="dxa" w:w="110"/>
            </w:tcMar>
          </w:tcPr>
          <w:p>
            <w:pPr>
              <w:spacing w:after="40" w:line="252"/>
            </w:pPr>
          </w:p>
        </w:tc>
        <w:tc>
          <w:tcPr>
            <w:tcW w:type="dxa" w:w="3000"/>
            <w:tcMar>
              <w:top w:type="dxa" w:w="20"/>
              <w:left w:type="dxa" w:w="110"/>
              <w:bottom w:type="dxa" w:w="20"/>
              <w:right w:type="dxa" w:w="110"/>
            </w:tcMar>
          </w:tcPr>
          <w:p>
            <w:pPr>
              <w:spacing w:after="40" w:line="252"/>
            </w:pPr>
          </w:p>
        </w:tc>
        <w:tc>
          <w:tcPr>
            <w:tcW w:type="dxa" w:w="1300"/>
            <w:tcMar>
              <w:top w:type="dxa" w:w="20"/>
              <w:left w:type="dxa" w:w="110"/>
              <w:bottom w:type="dxa" w:w="20"/>
              <w:right w:type="dxa" w:w="110"/>
            </w:tcMar>
          </w:tcPr>
          <w:p>
            <w:pPr>
              <w:spacing w:after="40" w:line="252"/>
            </w:pPr>
          </w:p>
        </w:tc>
        <w:tc>
          <w:tcPr>
            <w:tcW w:type="dxa" w:w="1500"/>
            <w:tcMar>
              <w:top w:type="dxa" w:w="20"/>
              <w:left w:type="dxa" w:w="110"/>
              <w:bottom w:type="dxa" w:w="20"/>
              <w:right w:type="dxa" w:w="110"/>
            </w:tcMar>
          </w:tcPr>
          <w:p>
            <w:pPr>
              <w:spacing w:after="40" w:line="252"/>
            </w:pPr>
          </w:p>
        </w:tc>
        <w:tc>
          <w:tcPr>
            <w:tcW w:type="dxa" w:w="900"/>
            <w:tcMar>
              <w:top w:type="dxa" w:w="20"/>
              <w:left w:type="dxa" w:w="110"/>
              <w:bottom w:type="dxa" w:w="20"/>
              <w:right w:type="dxa" w:w="110"/>
            </w:tcMar>
          </w:tcPr>
          <w:p>
            <w:pPr>
              <w:spacing w:after="40" w:line="252"/>
            </w:pPr>
            <w:r>
              <w:rPr>
                <w:sz w:val="19"/>
                <w:szCs w:val="19"/>
              </w:rPr>
              <w:t xml:space="preserve">☐</w:t>
            </w:r>
          </w:p>
        </w:tc>
        <w:tc>
          <w:tcPr>
            <w:tcW w:type="dxa" w:w="1000"/>
            <w:tcMar>
              <w:top w:type="dxa" w:w="20"/>
              <w:left w:type="dxa" w:w="110"/>
              <w:bottom w:type="dxa" w:w="20"/>
              <w:right w:type="dxa" w:w="110"/>
            </w:tcMar>
          </w:tcPr>
          <w:p>
            <w:pPr>
              <w:spacing w:after="40" w:line="252"/>
            </w:pPr>
            <w:r>
              <w:rPr>
                <w:sz w:val="19"/>
                <w:szCs w:val="19"/>
              </w:rPr>
              <w:t xml:space="preserve">☐</w:t>
            </w:r>
          </w:p>
        </w:tc>
      </w:tr>
      <w:tr>
        <w:trPr>
          <w:cantSplit/>
          <w:tblHeader w:val="false"/>
        </w:trPr>
        <w:tc>
          <w:tcPr>
            <w:tcW w:type="dxa" w:w="800"/>
            <w:shd w:fill="F2F6FA" w:color="auto" w:val="clear"/>
            <w:tcMar>
              <w:top w:type="dxa" w:w="20"/>
              <w:left w:type="dxa" w:w="110"/>
              <w:bottom w:type="dxa" w:w="20"/>
              <w:right w:type="dxa" w:w="110"/>
            </w:tcMar>
          </w:tcPr>
          <w:p>
            <w:pPr>
              <w:spacing w:after="40" w:line="252"/>
            </w:pPr>
            <w:r>
              <w:rPr>
                <w:sz w:val="19"/>
                <w:szCs w:val="19"/>
              </w:rPr>
              <w:t xml:space="preserve">30</w:t>
            </w:r>
          </w:p>
        </w:tc>
        <w:tc>
          <w:tcPr>
            <w:tcW w:type="dxa" w:w="1100"/>
            <w:shd w:fill="F2F6FA" w:color="auto" w:val="clear"/>
            <w:tcMar>
              <w:top w:type="dxa" w:w="20"/>
              <w:left w:type="dxa" w:w="110"/>
              <w:bottom w:type="dxa" w:w="20"/>
              <w:right w:type="dxa" w:w="110"/>
            </w:tcMar>
          </w:tcPr>
          <w:p>
            <w:pPr>
              <w:spacing w:after="40" w:line="252"/>
            </w:pPr>
          </w:p>
        </w:tc>
        <w:tc>
          <w:tcPr>
            <w:tcW w:type="dxa" w:w="3000"/>
            <w:shd w:fill="F2F6FA" w:color="auto" w:val="clear"/>
            <w:tcMar>
              <w:top w:type="dxa" w:w="20"/>
              <w:left w:type="dxa" w:w="110"/>
              <w:bottom w:type="dxa" w:w="20"/>
              <w:right w:type="dxa" w:w="110"/>
            </w:tcMar>
          </w:tcPr>
          <w:p>
            <w:pPr>
              <w:spacing w:after="40" w:line="252"/>
            </w:pPr>
          </w:p>
        </w:tc>
        <w:tc>
          <w:tcPr>
            <w:tcW w:type="dxa" w:w="1300"/>
            <w:shd w:fill="F2F6FA" w:color="auto" w:val="clear"/>
            <w:tcMar>
              <w:top w:type="dxa" w:w="20"/>
              <w:left w:type="dxa" w:w="110"/>
              <w:bottom w:type="dxa" w:w="20"/>
              <w:right w:type="dxa" w:w="110"/>
            </w:tcMar>
          </w:tcPr>
          <w:p>
            <w:pPr>
              <w:spacing w:after="40" w:line="252"/>
            </w:pPr>
          </w:p>
        </w:tc>
        <w:tc>
          <w:tcPr>
            <w:tcW w:type="dxa" w:w="1500"/>
            <w:shd w:fill="F2F6FA" w:color="auto" w:val="clear"/>
            <w:tcMar>
              <w:top w:type="dxa" w:w="20"/>
              <w:left w:type="dxa" w:w="110"/>
              <w:bottom w:type="dxa" w:w="20"/>
              <w:right w:type="dxa" w:w="110"/>
            </w:tcMar>
          </w:tcPr>
          <w:p>
            <w:pPr>
              <w:spacing w:after="40" w:line="252"/>
            </w:pPr>
          </w:p>
        </w:tc>
        <w:tc>
          <w:tcPr>
            <w:tcW w:type="dxa" w:w="900"/>
            <w:shd w:fill="F2F6FA" w:color="auto" w:val="clear"/>
            <w:tcMar>
              <w:top w:type="dxa" w:w="20"/>
              <w:left w:type="dxa" w:w="110"/>
              <w:bottom w:type="dxa" w:w="20"/>
              <w:right w:type="dxa" w:w="110"/>
            </w:tcMar>
          </w:tcPr>
          <w:p>
            <w:pPr>
              <w:spacing w:after="40" w:line="252"/>
            </w:pPr>
            <w:r>
              <w:rPr>
                <w:sz w:val="19"/>
                <w:szCs w:val="19"/>
              </w:rPr>
              <w:t xml:space="preserve">☐</w:t>
            </w:r>
          </w:p>
        </w:tc>
        <w:tc>
          <w:tcPr>
            <w:tcW w:type="dxa" w:w="1000"/>
            <w:shd w:fill="F2F6FA" w:color="auto" w:val="clear"/>
            <w:tcMar>
              <w:top w:type="dxa" w:w="20"/>
              <w:left w:type="dxa" w:w="110"/>
              <w:bottom w:type="dxa" w:w="20"/>
              <w:right w:type="dxa" w:w="110"/>
            </w:tcMar>
          </w:tcPr>
          <w:p>
            <w:pPr>
              <w:spacing w:after="40" w:line="252"/>
            </w:pPr>
            <w:r>
              <w:rPr>
                <w:sz w:val="19"/>
                <w:szCs w:val="19"/>
              </w:rPr>
              <w:t xml:space="preserve">☐</w:t>
            </w:r>
          </w:p>
        </w:tc>
      </w:tr>
    </w:tbl>
    <w:p>
      <w:pPr>
        <w:spacing w:after="80"/>
      </w:pPr>
    </w:p>
    <w:p>
      <w:pPr>
        <w:spacing w:after="100" w:line="264"/>
      </w:pPr>
      <w:r>
        <w:t xml:space="preserve">Bilan à six semaines : usages installés dans ma semaine : </w:t>
      </w:r>
      <w:r>
        <w:rPr>
          <w:highlight w:val="yellow"/>
        </w:rPr>
        <w:t xml:space="preserve">[…]</w:t>
      </w:r>
      <w:r>
        <w:t xml:space="preserve">. Temps gagné estimé par semaine : </w:t>
      </w:r>
      <w:r>
        <w:rPr>
          <w:highlight w:val="yellow"/>
        </w:rPr>
        <w:t xml:space="preserve">[…]</w:t>
      </w:r>
      <w:r>
        <w:t xml:space="preserve">. Ce que je veux construire au niveau 3 : </w:t>
      </w:r>
      <w:r>
        <w:rPr>
          <w:highlight w:val="yellow"/>
        </w:rPr>
        <w:t xml:space="preserve">[…]</w:t>
      </w:r>
      <w:r>
        <w:t xml:space="preserve">. Signature : </w:t>
      </w:r>
      <w:r>
        <w:rPr>
          <w:highlight w:val="yellow"/>
        </w:rPr>
        <w:t xml:space="preserve">[…]</w:t>
      </w:r>
      <w:r>
        <w:t xml:space="preserve">.</w:t>
      </w:r>
    </w:p>
    <w:p>
      <w:pPr>
        <w:pStyle w:val="Heading1"/>
        <w:pageBreakBefore/>
      </w:pPr>
      <w:r>
        <w:t xml:space="preserve">Annexe G. Sources</w:t>
      </w:r>
    </w:p>
    <w:p>
      <w:pPr>
        <w:spacing w:after="100" w:line="264"/>
      </w:pPr>
      <w:r>
        <w:t xml:space="preserve">Les chiffres et les repères cités dans ce kit proviennent des sources suivantes, consultées en septembre 2026.</w:t>
      </w:r>
    </w:p>
    <w:p>
      <w:pPr>
        <w:pStyle w:val="ListParagraph"/>
        <w:numPr>
          <w:ilvl w:val="0"/>
          <w:numId w:val="2"/>
        </w:numPr>
        <w:spacing w:after="60" w:line="264"/>
      </w:pPr>
      <w:r>
        <w:t xml:space="preserve">Thomson Reuters Institute, Future of Professionals Report 2026, 22 juin 2026 : enquête auprès de 1 816 professionnels du droit, de la fiscalité, de l’audit et de la conformité dans 62 pays (74 % d’usage plusieurs fois par semaine, 91 % d’organisations en retrait, 43 % citant le manque de formation, 34 % d’outils non approuvés, 66 % contre 22 % selon l’existence d’une stratégie IA).</w:t>
      </w:r>
    </w:p>
    <w:p>
      <w:pPr>
        <w:pStyle w:val="ListParagraph"/>
        <w:numPr>
          <w:ilvl w:val="0"/>
          <w:numId w:val="2"/>
        </w:numPr>
        <w:spacing w:after="60" w:line="264"/>
      </w:pPr>
      <w:r>
        <w:t xml:space="preserve">Wolters Kluwer, Future Ready Lawyer Survey Report 2026, 10 mars 2026 : 810 avocats et juristes de cabinets et de directions juridiques dans 11 pays dont la France (92 % utilisent au moins un outil d’IA, 62 % gagnent 6 à 20 % de leur semaine).</w:t>
      </w:r>
    </w:p>
    <w:p>
      <w:pPr>
        <w:pStyle w:val="ListParagraph"/>
        <w:numPr>
          <w:ilvl w:val="0"/>
          <w:numId w:val="2"/>
        </w:numPr>
        <w:spacing w:after="60" w:line="264"/>
      </w:pPr>
      <w:r>
        <w:t xml:space="preserve">LegalOn et In-House Connect, The 2026 State of AI for In-House Legal : 452 juristes d’entreprise (87 % voient la revue contractuelle comme premier bénéfice, 3,1 heures par contrat, 80 % explorent les agents et privilégient la supervision humaine).</w:t>
      </w:r>
    </w:p>
    <w:p>
      <w:pPr>
        <w:pStyle w:val="ListParagraph"/>
        <w:numPr>
          <w:ilvl w:val="0"/>
          <w:numId w:val="2"/>
        </w:numPr>
        <w:spacing w:after="60" w:line="264"/>
      </w:pPr>
      <w:r>
        <w:t xml:space="preserve">Conseil national des barreaux, guide « La déontologie et l’IA », mars 2026 : secret professionnel, vérification, hébergement des données, information du client.</w:t>
      </w:r>
    </w:p>
    <w:p>
      <w:pPr>
        <w:pStyle w:val="ListParagraph"/>
        <w:numPr>
          <w:ilvl w:val="0"/>
          <w:numId w:val="2"/>
        </w:numPr>
        <w:spacing w:after="60" w:line="264"/>
      </w:pPr>
      <w:r>
        <w:t xml:space="preserve">Règlement (UE) 2024/1689 établissant des règles harmonisées concernant l’intelligence artificielle, article 4 (maîtrise de l’IA), applicable depuis le 2 février 2025 ; règlement (UE) 2026/1744 dit Omnibus IA, applicable depuis le 27 juillet 2026, qui en reformule la rédaction.</w:t>
      </w:r>
    </w:p>
    <w:p>
      <w:pPr>
        <w:pStyle w:val="ListParagraph"/>
        <w:numPr>
          <w:ilvl w:val="0"/>
          <w:numId w:val="2"/>
        </w:numPr>
        <w:spacing w:after="60" w:line="264"/>
      </w:pPr>
      <w:r>
        <w:t xml:space="preserve">Morgan Lewis, « The Risks of Hallucinations and Misuse of Generative Artificial Intelligence Before French Courts », mars 2026 : tribunal administratif d’Orléans, 29 décembre 2025, n° 2506461 ; tribunal judiciaire de Périgueux, 18 décembre 2025, n° 23/00452 ; tribunal administratif de Grenoble, 3 et 9 décembre 2025 ; cour administrative d’appel de Bordeaux, 26 février 2026, n° 25BX02906.</w:t>
      </w:r>
    </w:p>
    <w:p>
      <w:pPr>
        <w:pStyle w:val="ListParagraph"/>
        <w:numPr>
          <w:ilvl w:val="0"/>
          <w:numId w:val="2"/>
        </w:numPr>
        <w:spacing w:after="60" w:line="264"/>
      </w:pPr>
      <w:r>
        <w:t xml:space="preserve">Damien Charlotin, AI Hallucination Cases Database, base recensant plus d’un millier de décisions dans le monde impliquant des contenus hallucinés par l’IA dans des écritures.</w:t>
      </w:r>
    </w:p>
    <w:p>
      <w:pPr>
        <w:pStyle w:val="ListParagraph"/>
        <w:numPr>
          <w:ilvl w:val="0"/>
          <w:numId w:val="2"/>
        </w:numPr>
        <w:spacing w:after="60" w:line="264"/>
      </w:pPr>
      <w:r>
        <w:t xml:space="preserve">GC AI, « AI Prompts for Lawyers » et « AI Skills for Lawyers » (2026) : structure Rôle, Contexte, Tâche, Format, Vérification ; compétences de cadrage, contexte, évaluation et réutilisation.</w:t>
      </w:r>
    </w:p>
    <w:p>
      <w:pPr>
        <w:pStyle w:val="ListParagraph"/>
        <w:numPr>
          <w:ilvl w:val="0"/>
          <w:numId w:val="2"/>
        </w:numPr>
        <w:spacing w:after="60" w:line="264"/>
      </w:pPr>
      <w:r>
        <w:t xml:space="preserve">Village de la Justice, « IA et droit : les 5 prompts préférés de la Team juristes augmentés », janvier 2026, mis à jour septembre 2026 : prompts à étiquettes visibles, contrainte de fidélité aux sources.</w:t>
      </w:r>
    </w:p>
    <w:p>
      <w:pPr>
        <w:pStyle w:val="ListParagraph"/>
        <w:numPr>
          <w:ilvl w:val="0"/>
          <w:numId w:val="2"/>
        </w:numPr>
        <w:spacing w:after="60" w:line="264"/>
      </w:pPr>
      <w:r>
        <w:t xml:space="preserve">Microsoft Adoption, Copilot Scenario Library, fonction juridique : scénarios de revue contractuelle, de conseil et de contentieux, indicateurs associés.</w:t>
      </w:r>
    </w:p>
    <w:p>
      <w:pPr>
        <w:pStyle w:val="ListParagraph"/>
        <w:numPr>
          <w:ilvl w:val="0"/>
          <w:numId w:val="2"/>
        </w:numPr>
        <w:spacing w:after="60" w:line="264"/>
      </w:pPr>
      <w:r>
        <w:t xml:space="preserve">Paris Place de Droit, commission Numérique et Justice, livre blanc « Le droit aux défis de l’IA générative », septembre 2025 : recommandations sur la formation et la supervision humaine.</w:t>
      </w:r>
    </w:p>
    <w:p>
      <w:pPr>
        <w:spacing w:after="200"/>
      </w:pPr>
    </w:p>
    <w:p>
      <w:pPr>
        <w:spacing w:after="80"/>
      </w:pPr>
      <w:r>
        <w:rPr>
          <w:color w:val="5B6B7B"/>
          <w:sz w:val="17"/>
          <w:szCs w:val="17"/>
        </w:rPr>
        <w:t xml:space="preserve">Kit IA pour les équipes juridiques, édition septembre 2026. NextStart Consulting, Paris. Les prompts sont libres de réutilisation et d’adaptation au sein de votre organisation ; la reproduction du kit à des fins commerciales n’est pas autorisée. Ce document est un support de montée en compétence : il ne constitue pas un avis juridique et ne remplace ni la charte d’usage de l’IA de votre organisation ni les règles fixées par votre DSI.</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B"/>
        <w:sz w:val="16"/>
        <w:szCs w:val="16"/>
      </w:rPr>
      <w:t xml:space="preserve">Kit IA pour les équipes juridiques  ·  NextStart.AI  ·  septembre 2026  ·  page </w:t>
    </w:r>
    <w:r>
      <w:rPr>
        <w:color w:val="5B6B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rPr>
        <w:color w:val="1D659C"/>
      </w:rPr>
    </w:lvl>
  </w:abstractNum>
  <w:abstractNum w:abstractNumId="3" w15:restartNumberingAfterBreak="0">
    <w:multiLevelType w:val="hybridMultilevel"/>
    <w:lvl w:ilvl="0" w15:tentative="1">
      <w:start w:val="1"/>
      <w:numFmt w:val="bullet"/>
      <w:lvlText w:val="☐"/>
      <w:lvlJc w:val="left"/>
      <w:pPr>
        <w:ind w:left="340" w:hanging="260"/>
      </w:pPr>
      <w:rPr>
        <w:color w:val="10213A"/>
      </w:rPr>
    </w:lvl>
  </w:abstractNum>
  <w:abstractNum w:abstractNumId="4" w15:restartNumberingAfterBreak="0">
    <w:multiLevelType w:val="hybridMultilevel"/>
    <w:lvl w:ilvl="0" w15:tentative="1">
      <w:start w:val="1"/>
      <w:numFmt w:val="decimal"/>
      <w:lvlText w:val="%1."/>
      <w:lvlJc w:val="left"/>
      <w:pPr>
        <w:ind w:left="400" w:hanging="300"/>
      </w:pPr>
      <w:rPr>
        <w:b/>
        <w:bCs/>
        <w:color w:val="1D659C"/>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4"/>
    <w:lvlOverride w:ilvl="0">
      <w:startOverride w:val="1"/>
    </w:lvlOverride>
  </w:num>
  <w:num w:numId="5">
    <w:abstractNumId w:val="3"/>
    <w:lvlOverride w:ilvl="0">
      <w:startOverride w:val="1"/>
    </w:lvlOverride>
  </w:num>
  <w:num w:numId="6">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37"/>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10213A"/>
      <w:sz w:val="40"/>
      <w:szCs w:val="40"/>
    </w:rPr>
  </w:style>
  <w:style w:type="paragraph" w:styleId="Heading2">
    <w:name w:val="Heading 2"/>
    <w:basedOn w:val="Normal"/>
    <w:next w:val="Normal"/>
    <w:qFormat/>
    <w:pPr>
      <w:keepNext/>
      <w:spacing w:after="120" w:before="280"/>
      <w:outlineLvl w:val="1"/>
    </w:pPr>
    <w:rPr>
      <w:rFonts w:ascii="Calibri" w:cs="Calibri" w:eastAsia="Calibri" w:hAnsi="Calibri"/>
      <w:b/>
      <w:bCs/>
      <w:color w:val="1D659C"/>
      <w:sz w:val="28"/>
      <w:szCs w:val="28"/>
    </w:rPr>
  </w:style>
  <w:style w:type="paragraph" w:styleId="Heading3">
    <w:name w:val="Heading 3"/>
    <w:basedOn w:val="Normal"/>
    <w:next w:val="Normal"/>
    <w:qFormat/>
    <w:pPr>
      <w:keepNext/>
      <w:pBdr>
        <w:bottom w:val="single" w:color="1D659C" w:sz="8" w:space="4"/>
      </w:pBdr>
      <w:spacing w:after="60" w:before="0"/>
      <w:outlineLvl w:val="2"/>
    </w:pPr>
    <w:rPr>
      <w:rFonts w:ascii="Calibri" w:cs="Calibri" w:eastAsia="Calibri" w:hAnsi="Calibri"/>
      <w:b/>
      <w:bCs/>
      <w:color w:val="10213A"/>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IA pour les équipes juridiques</dc:title>
  <dc:creator>NextStart.AI</dc:creator>
  <dc:description>30 cas d’usage du quotidien et leurs prompts, en 3 niveaux</dc:description>
  <cp:lastModifiedBy>Un-named</cp:lastModifiedBy>
  <cp:revision>1</cp:revision>
  <dcterms:created xsi:type="dcterms:W3CDTF">2026-09-27T17:48:35.444Z</dcterms:created>
  <dcterms:modified xsi:type="dcterms:W3CDTF">2026-09-27T17:48:35.445Z</dcterms:modified>
</cp:coreProperties>
</file>

<file path=docProps/custom.xml><?xml version="1.0" encoding="utf-8"?>
<Properties xmlns="http://schemas.openxmlformats.org/officeDocument/2006/custom-properties" xmlns:vt="http://schemas.openxmlformats.org/officeDocument/2006/docPropsVTypes"/>
</file>