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r>
        <w:rPr>
          <w:rFonts w:ascii="Calibri" w:cs="Calibri" w:eastAsia="Calibri" w:hAnsi="Calibri"/>
          <w:sz w:val="22"/>
          <w:szCs w:val="22"/>
        </w:rPr>
        <w:t xml:space="preserve"/>
      </w:r>
    </w:p>
    <w:p>
      <w:pPr>
        <w:spacing w:after="240"/>
        <w:jc w:val="center"/>
      </w:pPr>
      <w:r>
        <w:rPr>
          <w:rFonts w:ascii="Calibri" w:cs="Calibri" w:eastAsia="Calibri" w:hAnsi="Calibri"/>
          <w:b/>
          <w:bCs/>
          <w:color w:val="666666"/>
          <w:spacing w:val="40"/>
          <w:sz w:val="24"/>
          <w:szCs w:val="24"/>
        </w:rPr>
        <w:t xml:space="preserve">MODÈLE 2026</w:t>
      </w:r>
    </w:p>
    <w:p>
      <w:pPr>
        <w:spacing w:after="120"/>
        <w:jc w:val="center"/>
      </w:pPr>
      <w:r>
        <w:rPr>
          <w:rFonts w:ascii="Calibri" w:cs="Calibri" w:eastAsia="Calibri" w:hAnsi="Calibri"/>
          <w:b/>
          <w:bCs/>
          <w:color w:val="1F3A5F"/>
          <w:sz w:val="52"/>
          <w:szCs w:val="52"/>
        </w:rPr>
        <w:t xml:space="preserve">Charte d'usage de l'intelligence artificielle</w:t>
      </w:r>
    </w:p>
    <w:p>
      <w:pPr>
        <w:spacing w:after="480"/>
        <w:jc w:val="center"/>
      </w:pPr>
      <w:r>
        <w:rPr>
          <w:rFonts w:ascii="Calibri" w:cs="Calibri" w:eastAsia="Calibri" w:hAnsi="Calibri"/>
          <w:b/>
          <w:bCs/>
          <w:color w:val="1F3A5F"/>
          <w:sz w:val="52"/>
          <w:szCs w:val="52"/>
        </w:rPr>
        <w:t xml:space="preserve">en entreprise</w:t>
      </w:r>
    </w:p>
    <w:p>
      <w:pPr>
        <w:spacing w:after="120"/>
        <w:jc w:val="center"/>
      </w:pPr>
      <w:r>
        <w:rPr>
          <w:rFonts w:ascii="Calibri" w:cs="Calibri" w:eastAsia="Calibri" w:hAnsi="Calibri"/>
          <w:sz w:val="22"/>
          <w:szCs w:val="22"/>
          <w:shd w:fill="FFF2A8" w:color="auto" w:val="clear"/>
        </w:rPr>
        <w:t xml:space="preserve">[Nom de l'entreprise]</w:t>
      </w:r>
    </w:p>
    <w:p>
      <w:pPr>
        <w:spacing w:after="120"/>
        <w:jc w:val="center"/>
      </w:pPr>
      <w:r>
        <w:rPr>
          <w:rFonts w:ascii="Calibri" w:cs="Calibri" w:eastAsia="Calibri" w:hAnsi="Calibri"/>
          <w:sz w:val="22"/>
          <w:szCs w:val="22"/>
        </w:rPr>
        <w:t xml:space="preserve">Version </w:t>
      </w:r>
      <w:r>
        <w:rPr>
          <w:rFonts w:ascii="Calibri" w:cs="Calibri" w:eastAsia="Calibri" w:hAnsi="Calibri"/>
          <w:sz w:val="22"/>
          <w:szCs w:val="22"/>
          <w:shd w:fill="FFF2A8" w:color="auto" w:val="clear"/>
        </w:rPr>
        <w:t xml:space="preserve">[1.0]</w:t>
      </w:r>
      <w:r>
        <w:rPr>
          <w:rFonts w:ascii="Calibri" w:cs="Calibri" w:eastAsia="Calibri" w:hAnsi="Calibri"/>
          <w:sz w:val="22"/>
          <w:szCs w:val="22"/>
        </w:rPr>
        <w:t xml:space="preserve"> du </w:t>
      </w:r>
      <w:r>
        <w:rPr>
          <w:rFonts w:ascii="Calibri" w:cs="Calibri" w:eastAsia="Calibri" w:hAnsi="Calibri"/>
          <w:sz w:val="22"/>
          <w:szCs w:val="22"/>
          <w:shd w:fill="FFF2A8" w:color="auto" w:val="clear"/>
        </w:rPr>
        <w:t xml:space="preserve">[date]</w:t>
      </w:r>
    </w:p>
    <w:p>
      <w:pPr>
        <w:spacing w:after="2200"/>
        <w:jc w:val="center"/>
      </w:pPr>
      <w:r>
        <w:rPr>
          <w:rFonts w:ascii="Calibri" w:cs="Calibri" w:eastAsia="Calibri" w:hAnsi="Calibri"/>
          <w:sz w:val="22"/>
          <w:szCs w:val="22"/>
        </w:rPr>
        <w:t xml:space="preserve">Classification : </w:t>
      </w:r>
      <w:r>
        <w:rPr>
          <w:rFonts w:ascii="Calibri" w:cs="Calibri" w:eastAsia="Calibri" w:hAnsi="Calibri"/>
          <w:sz w:val="22"/>
          <w:szCs w:val="22"/>
          <w:shd w:fill="FFF2A8" w:color="auto" w:val="clear"/>
        </w:rPr>
        <w:t xml:space="preserve">[Interne]</w:t>
      </w:r>
    </w:p>
    <w:p>
      <w:pPr>
        <w:spacing w:after="120"/>
        <w:jc w:val="center"/>
      </w:pPr>
      <w:r>
        <w:rPr>
          <w:rFonts w:ascii="Calibri" w:cs="Calibri" w:eastAsia="Calibri" w:hAnsi="Calibri"/>
          <w:i/>
          <w:iCs/>
          <w:color w:val="666666"/>
          <w:sz w:val="18"/>
          <w:szCs w:val="18"/>
        </w:rPr>
        <w:t xml:space="preserve">Modèle rédigé par NextStart.AI, organisme de formation à l'IA pour les entreprises, à partir du guide d'usage de l'IA de la DINUM (juin 2026), des questions-réponses de la CNIL sur l'IA générative, des recommandations de sécurité de l'ANSSI et des chartes publiées par les administrations et ordres professionnels (voir annexe D). À jour du règlement européen sur l'IA (AI Act) et de son règlement Omnibus de juillet 2026. Ce document est un modèle générique : il doit être adapté à votre organisation et ne constitue pas un conseil juridique.</w:t>
      </w:r>
    </w:p>
    <w:p>
      <w:pPr>
        <w:jc w:val="center"/>
      </w:pPr>
      <w:r>
        <w:rPr>
          <w:rFonts w:ascii="Calibri" w:cs="Calibri" w:eastAsia="Calibri" w:hAnsi="Calibri"/>
          <w:color w:val="1F3A5F"/>
          <w:sz w:val="18"/>
          <w:szCs w:val="18"/>
        </w:rPr>
        <w:t xml:space="preserve">www.nextstart.ai</w:t>
      </w:r>
    </w:p>
    <w:p>
      <w:r>
        <w:br w:type="page"/>
      </w:r>
    </w:p>
    <w:p>
      <w:pPr>
        <w:pStyle w:val="Heading1"/>
        <w:spacing w:after="160" w:before="360"/>
      </w:pPr>
      <w:r>
        <w:t xml:space="preserve">Comment utiliser ce modèle</w:t>
      </w:r>
    </w:p>
    <w:p>
      <w:pPr>
        <w:spacing w:after="120" w:line="276"/>
      </w:pPr>
      <w:r>
        <w:rPr>
          <w:rFonts w:ascii="Calibri" w:cs="Calibri" w:eastAsia="Calibri" w:hAnsi="Calibri"/>
          <w:sz w:val="22"/>
          <w:szCs w:val="22"/>
        </w:rPr>
        <w:t xml:space="preserve">Ce modèle a été conçu pour être opérationnel en une demi-journée de travail. Il couvre les usages courants de l'IA générative (assistants conversationnels, générateurs de texte, d'images, de code, fonctions IA intégrées aux outils bureautiques, premiers agents) dans une entreprise de 10 à 500 personnes qui utilise l'IA sans en développer. Il reste pertinent pour des organisations plus grandes, avec un travail d'adaptation plus important.</w:t>
      </w:r>
    </w:p>
    <w:p>
      <w:pPr>
        <w:pStyle w:val="ListParagraph"/>
        <w:numPr>
          <w:ilvl w:val="0"/>
          <w:numId w:val="2"/>
        </w:numPr>
        <w:spacing w:after="60" w:line="276"/>
      </w:pPr>
      <w:r>
        <w:rPr>
          <w:rFonts w:ascii="Calibri" w:cs="Calibri" w:eastAsia="Calibri" w:hAnsi="Calibri"/>
          <w:sz w:val="22"/>
          <w:szCs w:val="22"/>
        </w:rPr>
        <w:t xml:space="preserve">Les passages surlignés en jaune, entre crochets, sont à remplacer par vos propres informations.</w:t>
      </w:r>
    </w:p>
    <w:p>
      <w:pPr>
        <w:pStyle w:val="ListParagraph"/>
        <w:numPr>
          <w:ilvl w:val="0"/>
          <w:numId w:val="2"/>
        </w:numPr>
        <w:spacing w:after="60" w:line="276"/>
      </w:pPr>
      <w:r>
        <w:rPr>
          <w:rFonts w:ascii="Calibri" w:cs="Calibri" w:eastAsia="Calibri" w:hAnsi="Calibri"/>
          <w:sz w:val="22"/>
          <w:szCs w:val="22"/>
        </w:rPr>
        <w:t xml:space="preserve">Les encadrés « Note pour le rédacteur » expliquent le pourquoi de chaque article et les choix à faire. Supprimez-les avant diffusion.</w:t>
      </w:r>
    </w:p>
    <w:p>
      <w:pPr>
        <w:pStyle w:val="ListParagraph"/>
        <w:numPr>
          <w:ilvl w:val="0"/>
          <w:numId w:val="2"/>
        </w:numPr>
        <w:spacing w:after="60" w:line="276"/>
      </w:pPr>
      <w:r>
        <w:rPr>
          <w:rFonts w:ascii="Calibri" w:cs="Calibri" w:eastAsia="Calibri" w:hAnsi="Calibri"/>
          <w:sz w:val="22"/>
          <w:szCs w:val="22"/>
        </w:rPr>
        <w:t xml:space="preserve">Chaque article propose une rédaction par défaut, plutôt prudente. Adaptez le niveau d'exigence à votre secteur : une agence de communication et un cabinet d'expertise comptable n'ont pas le même rapport à la confidentialité.</w:t>
      </w:r>
    </w:p>
    <w:p>
      <w:pPr>
        <w:pStyle w:val="ListParagraph"/>
        <w:numPr>
          <w:ilvl w:val="0"/>
          <w:numId w:val="2"/>
        </w:numPr>
        <w:spacing w:after="60" w:line="276"/>
      </w:pPr>
      <w:r>
        <w:rPr>
          <w:rFonts w:ascii="Calibri" w:cs="Calibri" w:eastAsia="Calibri" w:hAnsi="Calibri"/>
          <w:sz w:val="22"/>
          <w:szCs w:val="22"/>
        </w:rPr>
        <w:t xml:space="preserve">Les articles 8 (agents IA) et 9 (réunions enregistrées) peuvent être supprimés dans une très petite structure qui n'utilise ni l'un ni l'autre. Ils deviennent indispensables dès qu'un outil de transcription ou un agent connecté à la messagerie est en service.</w:t>
      </w:r>
    </w:p>
    <w:p>
      <w:pPr>
        <w:pStyle w:val="ListParagraph"/>
        <w:numPr>
          <w:ilvl w:val="0"/>
          <w:numId w:val="2"/>
        </w:numPr>
        <w:spacing w:after="60" w:line="276"/>
      </w:pPr>
      <w:r>
        <w:rPr>
          <w:rFonts w:ascii="Calibri" w:cs="Calibri" w:eastAsia="Calibri" w:hAnsi="Calibri"/>
          <w:sz w:val="22"/>
          <w:szCs w:val="22"/>
        </w:rPr>
        <w:t xml:space="preserve">Faites relire la version finale par votre conseil juridique ou votre DPO, en particulier les articles 4, 7, 13 et 15 et l'annexe B. La charte n'a de valeur disciplinaire que si elle est adjointe au règlement intérieur (article 15).</w:t>
      </w:r>
    </w:p>
    <w:p>
      <w:pPr>
        <w:pStyle w:val="ListParagraph"/>
        <w:numPr>
          <w:ilvl w:val="0"/>
          <w:numId w:val="2"/>
        </w:numPr>
        <w:spacing w:after="60" w:line="276"/>
      </w:pPr>
      <w:r>
        <w:rPr>
          <w:rFonts w:ascii="Calibri" w:cs="Calibri" w:eastAsia="Calibri" w:hAnsi="Calibri"/>
          <w:sz w:val="22"/>
          <w:szCs w:val="22"/>
        </w:rPr>
        <w:t xml:space="preserve">Prévoyez une revue à date fixe. Le calendrier réglementaire (annexe B) évolue jusqu'en 2030 et les outils changent tous les six mois.</w:t>
      </w:r>
    </w:p>
    <w:p>
      <w:pPr>
        <w:spacing w:after="60"/>
      </w:pPr>
      <w:r>
        <w:rPr>
          <w:rFonts w:ascii="Calibri" w:cs="Calibri" w:eastAsia="Calibri" w:hAnsi="Calibri"/>
          <w:sz w:val="22"/>
          <w:szCs w:val="22"/>
        </w:rPr>
        <w:t xml:space="preserve"/>
      </w:r>
    </w:p>
    <w:p>
      <w:pPr>
        <w:pStyle w:val="Heading2"/>
        <w:spacing w:after="120" w:before="240"/>
      </w:pPr>
      <w:r>
        <w:t xml:space="preserve">Sommaire</w:t>
      </w:r>
    </w:p>
    <w:p>
      <w:pPr>
        <w:spacing w:after="50"/>
        <w:ind w:left="360"/>
      </w:pPr>
      <w:r>
        <w:rPr>
          <w:rFonts w:ascii="Calibri" w:cs="Calibri" w:eastAsia="Calibri" w:hAnsi="Calibri"/>
          <w:sz w:val="22"/>
          <w:szCs w:val="22"/>
        </w:rPr>
        <w:t xml:space="preserve">Préambule</w:t>
      </w:r>
    </w:p>
    <w:p>
      <w:pPr>
        <w:spacing w:after="50"/>
        <w:ind w:left="360"/>
      </w:pPr>
      <w:r>
        <w:rPr>
          <w:rFonts w:ascii="Calibri" w:cs="Calibri" w:eastAsia="Calibri" w:hAnsi="Calibri"/>
          <w:sz w:val="22"/>
          <w:szCs w:val="22"/>
        </w:rPr>
        <w:t xml:space="preserve">Article 1. Objet et périmètre</w:t>
      </w:r>
    </w:p>
    <w:p>
      <w:pPr>
        <w:spacing w:after="50"/>
        <w:ind w:left="360"/>
      </w:pPr>
      <w:r>
        <w:rPr>
          <w:rFonts w:ascii="Calibri" w:cs="Calibri" w:eastAsia="Calibri" w:hAnsi="Calibri"/>
          <w:sz w:val="22"/>
          <w:szCs w:val="22"/>
        </w:rPr>
        <w:t xml:space="preserve">Article 2. Principes directeurs</w:t>
      </w:r>
    </w:p>
    <w:p>
      <w:pPr>
        <w:spacing w:after="50"/>
        <w:ind w:left="360"/>
      </w:pPr>
      <w:r>
        <w:rPr>
          <w:rFonts w:ascii="Calibri" w:cs="Calibri" w:eastAsia="Calibri" w:hAnsi="Calibri"/>
          <w:sz w:val="22"/>
          <w:szCs w:val="22"/>
        </w:rPr>
        <w:t xml:space="preserve">Article 3. Outils approuvés, tolérés et interdits</w:t>
      </w:r>
    </w:p>
    <w:p>
      <w:pPr>
        <w:spacing w:after="50"/>
        <w:ind w:left="360"/>
      </w:pPr>
      <w:r>
        <w:rPr>
          <w:rFonts w:ascii="Calibri" w:cs="Calibri" w:eastAsia="Calibri" w:hAnsi="Calibri"/>
          <w:sz w:val="22"/>
          <w:szCs w:val="22"/>
        </w:rPr>
        <w:t xml:space="preserve">Article 4. Données : ce qui peut être saisi dans un outil d'IA</w:t>
      </w:r>
    </w:p>
    <w:p>
      <w:pPr>
        <w:spacing w:after="50"/>
        <w:ind w:left="360"/>
      </w:pPr>
      <w:r>
        <w:rPr>
          <w:rFonts w:ascii="Calibri" w:cs="Calibri" w:eastAsia="Calibri" w:hAnsi="Calibri"/>
          <w:sz w:val="22"/>
          <w:szCs w:val="22"/>
        </w:rPr>
        <w:t xml:space="preserve">Article 5. Vérification et responsabilité des contenus produits</w:t>
      </w:r>
    </w:p>
    <w:p>
      <w:pPr>
        <w:spacing w:after="50"/>
        <w:ind w:left="360"/>
      </w:pPr>
      <w:r>
        <w:rPr>
          <w:rFonts w:ascii="Calibri" w:cs="Calibri" w:eastAsia="Calibri" w:hAnsi="Calibri"/>
          <w:sz w:val="22"/>
          <w:szCs w:val="22"/>
        </w:rPr>
        <w:t xml:space="preserve">Article 6. Transparence sur l'usage de l'IA</w:t>
      </w:r>
    </w:p>
    <w:p>
      <w:pPr>
        <w:spacing w:after="50"/>
        <w:ind w:left="360"/>
      </w:pPr>
      <w:r>
        <w:rPr>
          <w:rFonts w:ascii="Calibri" w:cs="Calibri" w:eastAsia="Calibri" w:hAnsi="Calibri"/>
          <w:sz w:val="22"/>
          <w:szCs w:val="22"/>
        </w:rPr>
        <w:t xml:space="preserve">Article 7. Propriété intellectuelle et confidentialité</w:t>
      </w:r>
    </w:p>
    <w:p>
      <w:pPr>
        <w:spacing w:after="50"/>
        <w:ind w:left="360"/>
      </w:pPr>
      <w:r>
        <w:rPr>
          <w:rFonts w:ascii="Calibri" w:cs="Calibri" w:eastAsia="Calibri" w:hAnsi="Calibri"/>
          <w:sz w:val="22"/>
          <w:szCs w:val="22"/>
        </w:rPr>
        <w:t xml:space="preserve">Article 8. Agents IA, extensions et automatisations</w:t>
      </w:r>
    </w:p>
    <w:p>
      <w:pPr>
        <w:spacing w:after="50"/>
        <w:ind w:left="360"/>
      </w:pPr>
      <w:r>
        <w:rPr>
          <w:rFonts w:ascii="Calibri" w:cs="Calibri" w:eastAsia="Calibri" w:hAnsi="Calibri"/>
          <w:sz w:val="22"/>
          <w:szCs w:val="22"/>
        </w:rPr>
        <w:t xml:space="preserve">Article 9. Réunions enregistrées et transcrites</w:t>
      </w:r>
    </w:p>
    <w:p>
      <w:pPr>
        <w:spacing w:after="50"/>
        <w:ind w:left="360"/>
      </w:pPr>
      <w:r>
        <w:rPr>
          <w:rFonts w:ascii="Calibri" w:cs="Calibri" w:eastAsia="Calibri" w:hAnsi="Calibri"/>
          <w:sz w:val="22"/>
          <w:szCs w:val="22"/>
        </w:rPr>
        <w:t xml:space="preserve">Article 10. Formation et maîtrise de l'IA</w:t>
      </w:r>
    </w:p>
    <w:p>
      <w:pPr>
        <w:spacing w:after="50"/>
        <w:ind w:left="360"/>
      </w:pPr>
      <w:r>
        <w:rPr>
          <w:rFonts w:ascii="Calibri" w:cs="Calibri" w:eastAsia="Calibri" w:hAnsi="Calibri"/>
          <w:sz w:val="22"/>
          <w:szCs w:val="22"/>
        </w:rPr>
        <w:t xml:space="preserve">Article 11. Signalement des incidents</w:t>
      </w:r>
    </w:p>
    <w:p>
      <w:pPr>
        <w:spacing w:after="50"/>
        <w:ind w:left="360"/>
      </w:pPr>
      <w:r>
        <w:rPr>
          <w:rFonts w:ascii="Calibri" w:cs="Calibri" w:eastAsia="Calibri" w:hAnsi="Calibri"/>
          <w:sz w:val="22"/>
          <w:szCs w:val="22"/>
        </w:rPr>
        <w:t xml:space="preserve">Article 12. Gouvernance et décisions concernant des personnes</w:t>
      </w:r>
    </w:p>
    <w:p>
      <w:pPr>
        <w:spacing w:after="50"/>
        <w:ind w:left="360"/>
      </w:pPr>
      <w:r>
        <w:rPr>
          <w:rFonts w:ascii="Calibri" w:cs="Calibri" w:eastAsia="Calibri" w:hAnsi="Calibri"/>
          <w:sz w:val="22"/>
          <w:szCs w:val="22"/>
        </w:rPr>
        <w:t xml:space="preserve">Article 13. Manquements</w:t>
      </w:r>
    </w:p>
    <w:p>
      <w:pPr>
        <w:spacing w:after="50"/>
        <w:ind w:left="360"/>
      </w:pPr>
      <w:r>
        <w:rPr>
          <w:rFonts w:ascii="Calibri" w:cs="Calibri" w:eastAsia="Calibri" w:hAnsi="Calibri"/>
          <w:sz w:val="22"/>
          <w:szCs w:val="22"/>
        </w:rPr>
        <w:t xml:space="preserve">Article 14. Revue et mise à jour</w:t>
      </w:r>
    </w:p>
    <w:p>
      <w:pPr>
        <w:spacing w:after="50"/>
        <w:ind w:left="360"/>
      </w:pPr>
      <w:r>
        <w:rPr>
          <w:rFonts w:ascii="Calibri" w:cs="Calibri" w:eastAsia="Calibri" w:hAnsi="Calibri"/>
          <w:sz w:val="22"/>
          <w:szCs w:val="22"/>
        </w:rPr>
        <w:t xml:space="preserve">Article 15. Adoption et acceptation</w:t>
      </w:r>
    </w:p>
    <w:p>
      <w:pPr>
        <w:spacing w:after="50"/>
        <w:ind w:left="360"/>
      </w:pPr>
      <w:r>
        <w:rPr>
          <w:rFonts w:ascii="Calibri" w:cs="Calibri" w:eastAsia="Calibri" w:hAnsi="Calibri"/>
          <w:sz w:val="22"/>
          <w:szCs w:val="22"/>
        </w:rPr>
        <w:t xml:space="preserve">Annexe A. Registre des outils IA</w:t>
      </w:r>
    </w:p>
    <w:p>
      <w:pPr>
        <w:spacing w:after="50"/>
        <w:ind w:left="360"/>
      </w:pPr>
      <w:r>
        <w:rPr>
          <w:rFonts w:ascii="Calibri" w:cs="Calibri" w:eastAsia="Calibri" w:hAnsi="Calibri"/>
          <w:sz w:val="22"/>
          <w:szCs w:val="22"/>
        </w:rPr>
        <w:t xml:space="preserve">Annexe B. Repères réglementaires (AI Act, RGPD, code du travail)</w:t>
      </w:r>
    </w:p>
    <w:p>
      <w:pPr>
        <w:spacing w:after="50"/>
        <w:ind w:left="360"/>
      </w:pPr>
      <w:r>
        <w:rPr>
          <w:rFonts w:ascii="Calibri" w:cs="Calibri" w:eastAsia="Calibri" w:hAnsi="Calibri"/>
          <w:sz w:val="22"/>
          <w:szCs w:val="22"/>
        </w:rPr>
        <w:t xml:space="preserve">Annexe C. Liste de contrôle pour le déploiement</w:t>
      </w:r>
    </w:p>
    <w:p>
      <w:pPr>
        <w:spacing w:after="50"/>
        <w:ind w:left="360"/>
      </w:pPr>
      <w:r>
        <w:rPr>
          <w:rFonts w:ascii="Calibri" w:cs="Calibri" w:eastAsia="Calibri" w:hAnsi="Calibri"/>
          <w:sz w:val="22"/>
          <w:szCs w:val="22"/>
        </w:rPr>
        <w:t xml:space="preserve">Annexe D. Sources utilisées pour ce modèle</w:t>
      </w:r>
    </w:p>
    <w:p>
      <w:r>
        <w:br w:type="page"/>
      </w:r>
    </w:p>
    <w:p>
      <w:pPr>
        <w:pStyle w:val="Heading1"/>
        <w:spacing w:after="160" w:before="360"/>
      </w:pPr>
      <w:r>
        <w:t xml:space="preserve">Préambule</w:t>
      </w:r>
    </w:p>
    <w:p>
      <w:pPr>
        <w:spacing w:after="120" w:line="276"/>
      </w:pPr>
      <w:r>
        <w:rPr>
          <w:rFonts w:ascii="Calibri" w:cs="Calibri" w:eastAsia="Calibri" w:hAnsi="Calibri"/>
          <w:sz w:val="22"/>
          <w:szCs w:val="22"/>
          <w:shd w:fill="FFF2A8" w:color="auto" w:val="clear"/>
        </w:rPr>
        <w:t xml:space="preserve">[Nom de l'entreprise]</w:t>
      </w:r>
      <w:r>
        <w:rPr>
          <w:rFonts w:ascii="Calibri" w:cs="Calibri" w:eastAsia="Calibri" w:hAnsi="Calibri"/>
          <w:sz w:val="22"/>
          <w:szCs w:val="22"/>
        </w:rPr>
        <w:t xml:space="preserve"> a fait le choix d'intégrer les outils d'intelligence artificielle dans ses activités pour gagner en efficacité, en qualité et en capacité d'innovation. Ces outils apportent une aide réelle à condition d'être utilisés avec discernement : ils peuvent produire des informations fausses avec une assurance parfaite, divulguer des données confidentielles, reproduire des biais, porter atteinte à des droits de propriété intellectuelle ou, pour les agents, déclencher des actions non voulues.</w:t>
      </w:r>
    </w:p>
    <w:p>
      <w:pPr>
        <w:spacing w:after="120" w:line="276"/>
      </w:pPr>
      <w:r>
        <w:rPr>
          <w:rFonts w:ascii="Calibri" w:cs="Calibri" w:eastAsia="Calibri" w:hAnsi="Calibri"/>
          <w:sz w:val="22"/>
          <w:szCs w:val="22"/>
        </w:rPr>
        <w:t xml:space="preserve">La présente charte fixe le cadre commun d'utilisation de ces outils. Elle vise trois objectifs : protéger l'entreprise, ses clients et ses collaborateurs ; donner à chacun des règles claires pour utiliser l'IA sereinement ; se conformer au règlement européen sur l'intelligence artificielle (règlement (UE) 2024/1689, dit « AI Act », modifié par le règlement (UE) 2026/1744), au RGPD, au code du travail et aux recommandations de la CNIL et de l'ANSSI.</w:t>
      </w:r>
    </w:p>
    <w:p>
      <w:pPr>
        <w:spacing w:after="120" w:line="276"/>
      </w:pPr>
      <w:r>
        <w:rPr>
          <w:rFonts w:ascii="Calibri" w:cs="Calibri" w:eastAsia="Calibri" w:hAnsi="Calibri"/>
          <w:sz w:val="22"/>
          <w:szCs w:val="22"/>
        </w:rPr>
        <w:t xml:space="preserve">Elle ne vise pas à freiner l'usage de l'IA mais à le rendre possible dans de bonnes conditions.</w:t>
      </w:r>
    </w:p>
    <w:p>
      <w:pPr>
        <w:pBdr>
          <w:left w:val="single" w:color="B8C4D6" w:sz="12" w:space="8"/>
        </w:pBdr>
        <w:spacing w:after="160" w:line="276"/>
        <w:ind w:left="360"/>
      </w:pPr>
      <w:r>
        <w:rPr>
          <w:rFonts w:ascii="Calibri" w:cs="Calibri" w:eastAsia="Calibri" w:hAnsi="Calibri"/>
          <w:b/>
          <w:bCs/>
          <w:i/>
          <w:iCs/>
          <w:color w:val="666666"/>
          <w:sz w:val="20"/>
          <w:szCs w:val="20"/>
        </w:rPr>
        <w:t xml:space="preserve">Note pour le rédacteur : </w:t>
      </w:r>
      <w:r>
        <w:rPr>
          <w:rFonts w:ascii="Calibri" w:cs="Calibri" w:eastAsia="Calibri" w:hAnsi="Calibri"/>
          <w:i/>
          <w:iCs/>
          <w:color w:val="666666"/>
          <w:sz w:val="20"/>
          <w:szCs w:val="20"/>
        </w:rPr>
        <w:t xml:space="preserve">Le préambule fixe le ton. Une charte perçue comme une liste d'interdits est contournée ; une charte qui commence par affirmer que l'IA est encouragée dans un cadre est mieux acceptée. Si votre direction a formalisé une stratégie IA, citez-la ici en une phrase.</w:t>
      </w:r>
    </w:p>
    <w:p>
      <w:pPr>
        <w:pStyle w:val="Heading1"/>
        <w:spacing w:after="160" w:before="360"/>
      </w:pPr>
      <w:r>
        <w:t xml:space="preserve">Article 1. Objet et périmètre</w:t>
      </w:r>
    </w:p>
    <w:p>
      <w:pPr>
        <w:pStyle w:val="Heading2"/>
        <w:spacing w:after="120" w:before="240"/>
      </w:pPr>
      <w:r>
        <w:t xml:space="preserve">1.1 Objet</w:t>
      </w:r>
    </w:p>
    <w:p>
      <w:pPr>
        <w:spacing w:after="120" w:line="276"/>
      </w:pPr>
      <w:r>
        <w:rPr>
          <w:rFonts w:ascii="Calibri" w:cs="Calibri" w:eastAsia="Calibri" w:hAnsi="Calibri"/>
          <w:sz w:val="22"/>
          <w:szCs w:val="22"/>
        </w:rPr>
        <w:t xml:space="preserve">La présente charte définit les règles d'utilisation des systèmes d'intelligence artificielle, et en particulier des outils d'IA générative et des agents IA, dans le cadre des activités professionnelles de l'entreprise.</w:t>
      </w:r>
    </w:p>
    <w:p>
      <w:pPr>
        <w:pStyle w:val="Heading2"/>
        <w:spacing w:after="120" w:before="240"/>
      </w:pPr>
      <w:r>
        <w:t xml:space="preserve">1.2 Personnes concernées</w:t>
      </w:r>
    </w:p>
    <w:p>
      <w:pPr>
        <w:spacing w:after="120" w:line="276"/>
      </w:pPr>
      <w:r>
        <w:rPr>
          <w:rFonts w:ascii="Calibri" w:cs="Calibri" w:eastAsia="Calibri" w:hAnsi="Calibri"/>
          <w:sz w:val="22"/>
          <w:szCs w:val="22"/>
        </w:rPr>
        <w:t xml:space="preserve">Elle s'applique à l'ensemble des salariés, quel que soit leur contrat, ainsi qu'aux stagiaires, alternants, intérimaires, prestataires et sous-traitants intervenant pour le compte de </w:t>
      </w:r>
      <w:r>
        <w:rPr>
          <w:rFonts w:ascii="Calibri" w:cs="Calibri" w:eastAsia="Calibri" w:hAnsi="Calibri"/>
          <w:sz w:val="22"/>
          <w:szCs w:val="22"/>
          <w:shd w:fill="FFF2A8" w:color="auto" w:val="clear"/>
        </w:rPr>
        <w:t xml:space="preserve">[Nom de l'entreprise]</w:t>
      </w:r>
      <w:r>
        <w:rPr>
          <w:rFonts w:ascii="Calibri" w:cs="Calibri" w:eastAsia="Calibri" w:hAnsi="Calibri"/>
          <w:sz w:val="22"/>
          <w:szCs w:val="22"/>
        </w:rPr>
        <w:t xml:space="preserve">, dès lors qu'ils utilisent un outil d'IA dans le cadre de leur mission.</w:t>
      </w:r>
    </w:p>
    <w:p>
      <w:pPr>
        <w:pStyle w:val="Heading2"/>
        <w:spacing w:after="120" w:before="240"/>
      </w:pPr>
      <w:r>
        <w:t xml:space="preserve">1.3 Outils concernés</w:t>
      </w:r>
    </w:p>
    <w:p>
      <w:pPr>
        <w:spacing w:after="120" w:line="276"/>
      </w:pPr>
      <w:r>
        <w:rPr>
          <w:rFonts w:ascii="Calibri" w:cs="Calibri" w:eastAsia="Calibri" w:hAnsi="Calibri"/>
          <w:sz w:val="22"/>
          <w:szCs w:val="22"/>
        </w:rPr>
        <w:t xml:space="preserve">Sont concernés tous les outils permettant de générer, transformer, analyser, résumer ou traduire du contenu (texte, image, son, vidéo, code, données), ou d'exécuter des actions, à partir d'un modèle d'intelligence artificielle, qu'ils soient :</w:t>
      </w:r>
    </w:p>
    <w:p>
      <w:pPr>
        <w:pStyle w:val="ListParagraph"/>
        <w:numPr>
          <w:ilvl w:val="0"/>
          <w:numId w:val="2"/>
        </w:numPr>
        <w:spacing w:after="60" w:line="276"/>
      </w:pPr>
      <w:r>
        <w:rPr>
          <w:rFonts w:ascii="Calibri" w:cs="Calibri" w:eastAsia="Calibri" w:hAnsi="Calibri"/>
          <w:sz w:val="22"/>
          <w:szCs w:val="22"/>
        </w:rPr>
        <w:t xml:space="preserve">mis à disposition par l'entreprise (licences professionnelles, outils intégrés au poste de travail, développements internes) ;</w:t>
      </w:r>
    </w:p>
    <w:p>
      <w:pPr>
        <w:pStyle w:val="ListParagraph"/>
        <w:numPr>
          <w:ilvl w:val="0"/>
          <w:numId w:val="2"/>
        </w:numPr>
        <w:spacing w:after="60" w:line="276"/>
      </w:pPr>
      <w:r>
        <w:rPr>
          <w:rFonts w:ascii="Calibri" w:cs="Calibri" w:eastAsia="Calibri" w:hAnsi="Calibri"/>
          <w:sz w:val="22"/>
          <w:szCs w:val="22"/>
        </w:rPr>
        <w:t xml:space="preserve">accessibles librement en ligne, en version gratuite ou payante, y compris via un compte personnel ;</w:t>
      </w:r>
    </w:p>
    <w:p>
      <w:pPr>
        <w:pStyle w:val="ListParagraph"/>
        <w:numPr>
          <w:ilvl w:val="0"/>
          <w:numId w:val="2"/>
        </w:numPr>
        <w:spacing w:after="60" w:line="276"/>
      </w:pPr>
      <w:r>
        <w:rPr>
          <w:rFonts w:ascii="Calibri" w:cs="Calibri" w:eastAsia="Calibri" w:hAnsi="Calibri"/>
          <w:sz w:val="22"/>
          <w:szCs w:val="22"/>
        </w:rPr>
        <w:t xml:space="preserve">intégrés dans des logiciels déjà utilisés (suite bureautique, messagerie, visioconférence, CRM, outils de développement), y compris lorsque la fonction a été activée par l'éditeur sans décision de l'entreprise ;</w:t>
      </w:r>
    </w:p>
    <w:p>
      <w:pPr>
        <w:pStyle w:val="ListParagraph"/>
        <w:numPr>
          <w:ilvl w:val="0"/>
          <w:numId w:val="2"/>
        </w:numPr>
        <w:spacing w:after="60" w:line="276"/>
      </w:pPr>
      <w:r>
        <w:rPr>
          <w:rFonts w:ascii="Calibri" w:cs="Calibri" w:eastAsia="Calibri" w:hAnsi="Calibri"/>
          <w:sz w:val="22"/>
          <w:szCs w:val="22"/>
        </w:rPr>
        <w:t xml:space="preserve">installés sous forme d'extension de navigateur, d'application sur le poste de travail ou d'agent connecté à d'autres outils.</w:t>
      </w:r>
    </w:p>
    <w:p>
      <w:pPr>
        <w:pStyle w:val="Heading2"/>
        <w:spacing w:after="120" w:before="240"/>
      </w:pPr>
      <w:r>
        <w:t xml:space="preserve">1.4 Situations concernées</w:t>
      </w:r>
    </w:p>
    <w:p>
      <w:pPr>
        <w:spacing w:after="120" w:line="276"/>
      </w:pPr>
      <w:r>
        <w:rPr>
          <w:rFonts w:ascii="Calibri" w:cs="Calibri" w:eastAsia="Calibri" w:hAnsi="Calibri"/>
          <w:sz w:val="22"/>
          <w:szCs w:val="22"/>
        </w:rPr>
        <w:t xml:space="preserve">La charte s'applique à tout usage réalisé dans le cadre professionnel, sur le matériel de l'entreprise ou sur du matériel personnel, dans les locaux ou à distance. Un assistant IA personnel ne peut pas être connecté à la messagerie, à l'agenda ou aux fichiers professionnels. L'usage strictement privé des outils d'IA, sans lien avec l'activité de l'entreprise et sans utilisation de données de l'entreprise, n'est pas concerné.</w:t>
      </w:r>
    </w:p>
    <w:p>
      <w:pPr>
        <w:pStyle w:val="Heading2"/>
        <w:spacing w:after="120" w:before="240"/>
      </w:pPr>
      <w:r>
        <w:t xml:space="preserve">1.5 Articulation avec les autres documents</w:t>
      </w:r>
    </w:p>
    <w:p>
      <w:pPr>
        <w:spacing w:after="120" w:line="276"/>
      </w:pPr>
      <w:r>
        <w:rPr>
          <w:rFonts w:ascii="Calibri" w:cs="Calibri" w:eastAsia="Calibri" w:hAnsi="Calibri"/>
          <w:sz w:val="22"/>
          <w:szCs w:val="22"/>
        </w:rPr>
        <w:t xml:space="preserve">La présente charte complète </w:t>
      </w:r>
      <w:r>
        <w:rPr>
          <w:rFonts w:ascii="Calibri" w:cs="Calibri" w:eastAsia="Calibri" w:hAnsi="Calibri"/>
          <w:sz w:val="22"/>
          <w:szCs w:val="22"/>
          <w:shd w:fill="FFF2A8" w:color="auto" w:val="clear"/>
        </w:rPr>
        <w:t xml:space="preserve">[la charte informatique / le règlement intérieur / la politique de sécurité des systèmes d'information / la politique de protection des données personnelles]</w:t>
      </w:r>
      <w:r>
        <w:rPr>
          <w:rFonts w:ascii="Calibri" w:cs="Calibri" w:eastAsia="Calibri" w:hAnsi="Calibri"/>
          <w:sz w:val="22"/>
          <w:szCs w:val="22"/>
        </w:rPr>
        <w:t xml:space="preserve"> en vigueur. En cas de contradiction, la règle la plus protectrice pour l'entreprise et pour les personnes s'applique.</w:t>
      </w:r>
    </w:p>
    <w:p>
      <w:pPr>
        <w:pBdr>
          <w:left w:val="single" w:color="B8C4D6" w:sz="12" w:space="8"/>
        </w:pBdr>
        <w:spacing w:after="160" w:line="276"/>
        <w:ind w:left="360"/>
      </w:pPr>
      <w:r>
        <w:rPr>
          <w:rFonts w:ascii="Calibri" w:cs="Calibri" w:eastAsia="Calibri" w:hAnsi="Calibri"/>
          <w:b/>
          <w:bCs/>
          <w:i/>
          <w:iCs/>
          <w:color w:val="666666"/>
          <w:sz w:val="20"/>
          <w:szCs w:val="20"/>
        </w:rPr>
        <w:t xml:space="preserve">Note pour le rédacteur : </w:t>
      </w:r>
      <w:r>
        <w:rPr>
          <w:rFonts w:ascii="Calibri" w:cs="Calibri" w:eastAsia="Calibri" w:hAnsi="Calibri"/>
          <w:i/>
          <w:iCs/>
          <w:color w:val="666666"/>
          <w:sz w:val="20"/>
          <w:szCs w:val="20"/>
        </w:rPr>
        <w:t xml:space="preserve">La définition large des outils (1.3) est volontaire : le point aveugle le plus fréquent est la fonction IA activée par défaut dans un logiciel déjà déployé (résumé de réunion, assistant de messagerie, complétion dans la suite bureautique). Elle doit entrer dans le périmètre sans discussion.</w:t>
      </w:r>
    </w:p>
    <w:p>
      <w:pPr>
        <w:pStyle w:val="Heading1"/>
        <w:spacing w:after="160" w:before="360"/>
      </w:pPr>
      <w:r>
        <w:t xml:space="preserve">Article 2. Principes directeurs</w:t>
      </w:r>
    </w:p>
    <w:p>
      <w:pPr>
        <w:spacing w:after="120" w:line="276"/>
      </w:pPr>
      <w:r>
        <w:rPr>
          <w:rFonts w:ascii="Calibri" w:cs="Calibri" w:eastAsia="Calibri" w:hAnsi="Calibri"/>
          <w:sz w:val="22"/>
          <w:szCs w:val="22"/>
        </w:rPr>
        <w:t xml:space="preserve">Toute utilisation d'un outil d'IA dans l'entreprise respecte les principes suivants.</w:t>
      </w:r>
    </w:p>
    <w:p>
      <w:pPr>
        <w:pStyle w:val="ListParagraph"/>
        <w:numPr>
          <w:ilvl w:val="0"/>
          <w:numId w:val="3"/>
        </w:numPr>
        <w:spacing w:after="60" w:line="276"/>
      </w:pPr>
      <w:r>
        <w:rPr>
          <w:rFonts w:ascii="Calibri" w:cs="Calibri" w:eastAsia="Calibri" w:hAnsi="Calibri"/>
          <w:b/>
          <w:bCs/>
          <w:sz w:val="22"/>
          <w:szCs w:val="22"/>
        </w:rPr>
        <w:t xml:space="preserve">Responsabilité humaine. </w:t>
      </w:r>
      <w:r>
        <w:rPr>
          <w:rFonts w:ascii="Calibri" w:cs="Calibri" w:eastAsia="Calibri" w:hAnsi="Calibri"/>
          <w:sz w:val="22"/>
          <w:szCs w:val="22"/>
        </w:rPr>
        <w:t xml:space="preserve">L'utilisateur reste responsable du contenu qu'il produit, transmet ou publie et des actions qu'il déclenche, même lorsque l'IA y a contribué. L'IA est un outil, pas un auteur ni un décideur.</w:t>
      </w:r>
    </w:p>
    <w:p>
      <w:pPr>
        <w:pStyle w:val="ListParagraph"/>
        <w:numPr>
          <w:ilvl w:val="0"/>
          <w:numId w:val="3"/>
        </w:numPr>
        <w:spacing w:after="60" w:line="276"/>
      </w:pPr>
      <w:r>
        <w:rPr>
          <w:rFonts w:ascii="Calibri" w:cs="Calibri" w:eastAsia="Calibri" w:hAnsi="Calibri"/>
          <w:b/>
          <w:bCs/>
          <w:sz w:val="22"/>
          <w:szCs w:val="22"/>
        </w:rPr>
        <w:t xml:space="preserve">Confidentialité. </w:t>
      </w:r>
      <w:r>
        <w:rPr>
          <w:rFonts w:ascii="Calibri" w:cs="Calibri" w:eastAsia="Calibri" w:hAnsi="Calibri"/>
          <w:sz w:val="22"/>
          <w:szCs w:val="22"/>
        </w:rPr>
        <w:t xml:space="preserve">Aucune information confidentielle, aucune donnée personnelle non autorisée et aucun secret d'affaires n'est transmis à un outil d'IA qui n'a pas été approuvé pour cet usage (article 4).</w:t>
      </w:r>
    </w:p>
    <w:p>
      <w:pPr>
        <w:pStyle w:val="ListParagraph"/>
        <w:numPr>
          <w:ilvl w:val="0"/>
          <w:numId w:val="3"/>
        </w:numPr>
        <w:spacing w:after="60" w:line="276"/>
      </w:pPr>
      <w:r>
        <w:rPr>
          <w:rFonts w:ascii="Calibri" w:cs="Calibri" w:eastAsia="Calibri" w:hAnsi="Calibri"/>
          <w:b/>
          <w:bCs/>
          <w:sz w:val="22"/>
          <w:szCs w:val="22"/>
        </w:rPr>
        <w:t xml:space="preserve">Vérification. </w:t>
      </w:r>
      <w:r>
        <w:rPr>
          <w:rFonts w:ascii="Calibri" w:cs="Calibri" w:eastAsia="Calibri" w:hAnsi="Calibri"/>
          <w:sz w:val="22"/>
          <w:szCs w:val="22"/>
        </w:rPr>
        <w:t xml:space="preserve">Tout contenu généré est relu, vérifié et corrigé avant d'être utilisé, en proportion de l'enjeu (article 5). L'aisance de l'outil ne dit rien de sa fiabilité.</w:t>
      </w:r>
    </w:p>
    <w:p>
      <w:pPr>
        <w:pStyle w:val="ListParagraph"/>
        <w:numPr>
          <w:ilvl w:val="0"/>
          <w:numId w:val="3"/>
        </w:numPr>
        <w:spacing w:after="60" w:line="276"/>
      </w:pPr>
      <w:r>
        <w:rPr>
          <w:rFonts w:ascii="Calibri" w:cs="Calibri" w:eastAsia="Calibri" w:hAnsi="Calibri"/>
          <w:b/>
          <w:bCs/>
          <w:sz w:val="22"/>
          <w:szCs w:val="22"/>
        </w:rPr>
        <w:t xml:space="preserve">Transparence. </w:t>
      </w:r>
      <w:r>
        <w:rPr>
          <w:rFonts w:ascii="Calibri" w:cs="Calibri" w:eastAsia="Calibri" w:hAnsi="Calibri"/>
          <w:sz w:val="22"/>
          <w:szCs w:val="22"/>
        </w:rPr>
        <w:t xml:space="preserve">L'usage de l'IA est signalé lorsque la loi, un client, un partenaire ou le bon sens l'exige (article 6).</w:t>
      </w:r>
    </w:p>
    <w:p>
      <w:pPr>
        <w:pStyle w:val="ListParagraph"/>
        <w:numPr>
          <w:ilvl w:val="0"/>
          <w:numId w:val="3"/>
        </w:numPr>
        <w:spacing w:after="60" w:line="276"/>
      </w:pPr>
      <w:r>
        <w:rPr>
          <w:rFonts w:ascii="Calibri" w:cs="Calibri" w:eastAsia="Calibri" w:hAnsi="Calibri"/>
          <w:b/>
          <w:bCs/>
          <w:sz w:val="22"/>
          <w:szCs w:val="22"/>
        </w:rPr>
        <w:t xml:space="preserve">Équité, non-discrimination et accessibilité. </w:t>
      </w:r>
      <w:r>
        <w:rPr>
          <w:rFonts w:ascii="Calibri" w:cs="Calibri" w:eastAsia="Calibri" w:hAnsi="Calibri"/>
          <w:sz w:val="22"/>
          <w:szCs w:val="22"/>
        </w:rPr>
        <w:t xml:space="preserve">Les outils d'IA ne sont pas utilisés pour prendre seuls des décisions affectant des personnes (article 12) ni pour produire des contenus discriminatoires, trompeurs ou dégradants. Les demandes sont formulées en termes neutres et les contenus destinés au public respectent les règles d'accessibilité de l'entreprise.</w:t>
      </w:r>
    </w:p>
    <w:p>
      <w:pPr>
        <w:pStyle w:val="ListParagraph"/>
        <w:numPr>
          <w:ilvl w:val="0"/>
          <w:numId w:val="3"/>
        </w:numPr>
        <w:spacing w:after="60" w:line="276"/>
      </w:pPr>
      <w:r>
        <w:rPr>
          <w:rFonts w:ascii="Calibri" w:cs="Calibri" w:eastAsia="Calibri" w:hAnsi="Calibri"/>
          <w:b/>
          <w:bCs/>
          <w:sz w:val="22"/>
          <w:szCs w:val="22"/>
        </w:rPr>
        <w:t xml:space="preserve">Utilité réelle et sobriété. </w:t>
      </w:r>
      <w:r>
        <w:rPr>
          <w:rFonts w:ascii="Calibri" w:cs="Calibri" w:eastAsia="Calibri" w:hAnsi="Calibri"/>
          <w:sz w:val="22"/>
          <w:szCs w:val="22"/>
        </w:rPr>
        <w:t xml:space="preserve">L'IA est utilisée lorsqu'elle apporte une valeur réelle par rapport à une méthode classique, avec le modèle le plus léger qui convient à la tâche, en tenant compte de son coût, de son empreinte environnementale et du temps de vérification qu'elle impose.</w:t>
      </w:r>
    </w:p>
    <w:p>
      <w:pPr>
        <w:pStyle w:val="ListParagraph"/>
        <w:numPr>
          <w:ilvl w:val="0"/>
          <w:numId w:val="3"/>
        </w:numPr>
        <w:spacing w:after="60" w:line="276"/>
      </w:pPr>
      <w:r>
        <w:rPr>
          <w:rFonts w:ascii="Calibri" w:cs="Calibri" w:eastAsia="Calibri" w:hAnsi="Calibri"/>
          <w:b/>
          <w:bCs/>
          <w:sz w:val="22"/>
          <w:szCs w:val="22"/>
        </w:rPr>
        <w:t xml:space="preserve">Préservation des compétences. </w:t>
      </w:r>
      <w:r>
        <w:rPr>
          <w:rFonts w:ascii="Calibri" w:cs="Calibri" w:eastAsia="Calibri" w:hAnsi="Calibri"/>
          <w:sz w:val="22"/>
          <w:szCs w:val="22"/>
        </w:rPr>
        <w:t xml:space="preserve">L'IA assiste le travail, elle ne remplace pas la compétence de celui qui le fait. Chacun veille à conserver sa capacité à faire sans l'outil et à ne pas valider par réflexe ce que l'IA propose (biais d'automatisation).</w:t>
      </w:r>
    </w:p>
    <w:p>
      <w:pPr>
        <w:pBdr>
          <w:left w:val="single" w:color="B8C4D6" w:sz="12" w:space="8"/>
        </w:pBdr>
        <w:spacing w:after="160" w:line="276"/>
        <w:ind w:left="360"/>
      </w:pPr>
      <w:r>
        <w:rPr>
          <w:rFonts w:ascii="Calibri" w:cs="Calibri" w:eastAsia="Calibri" w:hAnsi="Calibri"/>
          <w:b/>
          <w:bCs/>
          <w:i/>
          <w:iCs/>
          <w:color w:val="666666"/>
          <w:sz w:val="20"/>
          <w:szCs w:val="20"/>
        </w:rPr>
        <w:t xml:space="preserve">Note pour le rédacteur : </w:t>
      </w:r>
      <w:r>
        <w:rPr>
          <w:rFonts w:ascii="Calibri" w:cs="Calibri" w:eastAsia="Calibri" w:hAnsi="Calibri"/>
          <w:i/>
          <w:iCs/>
          <w:color w:val="666666"/>
          <w:sz w:val="20"/>
          <w:szCs w:val="20"/>
        </w:rPr>
        <w:t xml:space="preserve">Ces principes reprennent ceux du guide d'usage de l'IA de la DINUM (responsabilité, choix de l'outil selon les données, transparence, utilité réelle, formation) et les points de vigilance de la CNIL (biais d'automatisation, perte de compétence). Ils servent de référence quand une situation n'est pas prévue par les articles suivants. Vous pouvez en ajouter un lié à vos valeurs ou à votre secteur (déontologie, secret médical, secret bancaire).</w:t>
      </w:r>
    </w:p>
    <w:p>
      <w:pPr>
        <w:pStyle w:val="Heading1"/>
        <w:spacing w:after="160" w:before="360"/>
      </w:pPr>
      <w:r>
        <w:t xml:space="preserve">Article 3. Outils approuvés, tolérés et interdits</w:t>
      </w:r>
    </w:p>
    <w:p>
      <w:pPr>
        <w:pStyle w:val="Heading2"/>
        <w:spacing w:after="120" w:before="240"/>
      </w:pPr>
      <w:r>
        <w:t xml:space="preserve">3.1 Trois catégories d'outils</w:t>
      </w:r>
    </w:p>
    <w:p>
      <w:pPr>
        <w:spacing w:after="120" w:line="276"/>
      </w:pPr>
      <w:r>
        <w:rPr>
          <w:rFonts w:ascii="Calibri" w:cs="Calibri" w:eastAsia="Calibri" w:hAnsi="Calibri"/>
          <w:sz w:val="22"/>
          <w:szCs w:val="22"/>
        </w:rPr>
        <w:t xml:space="preserve">Les outils d'IA sont classés en trois catégories. La liste nominative, avec sa date de validation, figure dans le registre des outils IA (annexe A), tenu par le référent IA.</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900"/>
        <w:gridCol w:w="3900"/>
        <w:gridCol w:w="3838"/>
      </w:tblGrid>
      <w:tr>
        <w:trPr>
          <w:tblHeader/>
        </w:trPr>
        <w:tc>
          <w:tcPr>
            <w:tcW w:type="dxa" w:w="1900"/>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Catégorie</w:t>
            </w:r>
          </w:p>
        </w:tc>
        <w:tc>
          <w:tcPr>
            <w:tcW w:type="dxa" w:w="3900"/>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Définition</w:t>
            </w:r>
          </w:p>
        </w:tc>
        <w:tc>
          <w:tcPr>
            <w:tcW w:type="dxa" w:w="3838"/>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Ce que vous pouvez y saisir</w:t>
            </w:r>
          </w:p>
        </w:tc>
      </w:tr>
      <w:tr>
        <w:trPr>
          <w:tblHeader w:val="false"/>
        </w:trPr>
        <w:tc>
          <w:tcPr>
            <w:tcW w:type="dxa" w:w="1900"/>
            <w:tcBorders>
              <w:top w:val="single" w:color="B8C4D6" w:sz="4"/>
              <w:left w:val="single" w:color="B8C4D6" w:sz="4"/>
              <w:bottom w:val="single" w:color="B8C4D6" w:sz="4"/>
              <w:right w:val="single" w:color="B8C4D6" w:sz="4"/>
            </w:tcBorders>
            <w:shd w:fill="E3F4E3"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Approuvé</w:t>
            </w:r>
          </w:p>
        </w:tc>
        <w:tc>
          <w:tcPr>
            <w:tcW w:type="dxa" w:w="3900"/>
            <w:tcBorders>
              <w:top w:val="single" w:color="B8C4D6" w:sz="4"/>
              <w:left w:val="single" w:color="B8C4D6" w:sz="4"/>
              <w:bottom w:val="single" w:color="B8C4D6" w:sz="4"/>
              <w:right w:val="single" w:color="B8C4D6" w:sz="4"/>
            </w:tcBorders>
            <w:shd w:fill="E3F4E3"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Outil évalué par l'entreprise, sous contrat professionnel, avec un contrat de sous-traitance RGPD, dont les données ne servent pas à l'entraînement du modèle et sont hébergées dans des conditions connues.</w:t>
            </w:r>
          </w:p>
        </w:tc>
        <w:tc>
          <w:tcPr>
            <w:tcW w:type="dxa" w:w="3838"/>
            <w:tcBorders>
              <w:top w:val="single" w:color="B8C4D6" w:sz="4"/>
              <w:left w:val="single" w:color="B8C4D6" w:sz="4"/>
              <w:bottom w:val="single" w:color="B8C4D6" w:sz="4"/>
              <w:right w:val="single" w:color="B8C4D6" w:sz="4"/>
            </w:tcBorders>
            <w:shd w:fill="E3F4E3"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Données vertes et oranges (article 4). Données rouges uniquement si le registre le précise pour cet outil.</w:t>
            </w:r>
          </w:p>
        </w:tc>
      </w:tr>
      <w:tr>
        <w:trPr>
          <w:tblHeader w:val="false"/>
        </w:trPr>
        <w:tc>
          <w:tcPr>
            <w:tcW w:type="dxa" w:w="1900"/>
            <w:tcBorders>
              <w:top w:val="single" w:color="B8C4D6" w:sz="4"/>
              <w:left w:val="single" w:color="B8C4D6" w:sz="4"/>
              <w:bottom w:val="single" w:color="B8C4D6" w:sz="4"/>
              <w:right w:val="single" w:color="B8C4D6" w:sz="4"/>
            </w:tcBorders>
            <w:shd w:fill="FFE9CC"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Toléré</w:t>
            </w:r>
          </w:p>
        </w:tc>
        <w:tc>
          <w:tcPr>
            <w:tcW w:type="dxa" w:w="3900"/>
            <w:tcBorders>
              <w:top w:val="single" w:color="B8C4D6" w:sz="4"/>
              <w:left w:val="single" w:color="B8C4D6" w:sz="4"/>
              <w:bottom w:val="single" w:color="B8C4D6" w:sz="4"/>
              <w:right w:val="single" w:color="B8C4D6" w:sz="4"/>
            </w:tcBorders>
            <w:shd w:fill="FFE9CC"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Outil grand public ou version gratuite, sans garantie contractuelle sur les données, utilisé avec un compte professionnel dédié.</w:t>
            </w:r>
          </w:p>
        </w:tc>
        <w:tc>
          <w:tcPr>
            <w:tcW w:type="dxa" w:w="3838"/>
            <w:tcBorders>
              <w:top w:val="single" w:color="B8C4D6" w:sz="4"/>
              <w:left w:val="single" w:color="B8C4D6" w:sz="4"/>
              <w:bottom w:val="single" w:color="B8C4D6" w:sz="4"/>
              <w:right w:val="single" w:color="B8C4D6" w:sz="4"/>
            </w:tcBorders>
            <w:shd w:fill="FFE9CC"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Données vertes uniquement.</w:t>
            </w:r>
          </w:p>
        </w:tc>
      </w:tr>
      <w:tr>
        <w:trPr>
          <w:tblHeader w:val="false"/>
        </w:trPr>
        <w:tc>
          <w:tcPr>
            <w:tcW w:type="dxa" w:w="1900"/>
            <w:tcBorders>
              <w:top w:val="single" w:color="B8C4D6" w:sz="4"/>
              <w:left w:val="single" w:color="B8C4D6" w:sz="4"/>
              <w:bottom w:val="single" w:color="B8C4D6" w:sz="4"/>
              <w:right w:val="single" w:color="B8C4D6" w:sz="4"/>
            </w:tcBorders>
            <w:shd w:fill="F9DCDC"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Interdit</w:t>
            </w:r>
          </w:p>
        </w:tc>
        <w:tc>
          <w:tcPr>
            <w:tcW w:type="dxa" w:w="3900"/>
            <w:tcBorders>
              <w:top w:val="single" w:color="B8C4D6" w:sz="4"/>
              <w:left w:val="single" w:color="B8C4D6" w:sz="4"/>
              <w:bottom w:val="single" w:color="B8C4D6" w:sz="4"/>
              <w:right w:val="single" w:color="B8C4D6" w:sz="4"/>
            </w:tcBorders>
            <w:shd w:fill="F9DCDC"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Outil explicitement listé comme interdit, outil accédé via un compte personnel, ou tout outil dont l'éditeur, l'hébergement ou les conditions d'utilisation sont inconnus.</w:t>
            </w:r>
          </w:p>
        </w:tc>
        <w:tc>
          <w:tcPr>
            <w:tcW w:type="dxa" w:w="3838"/>
            <w:tcBorders>
              <w:top w:val="single" w:color="B8C4D6" w:sz="4"/>
              <w:left w:val="single" w:color="B8C4D6" w:sz="4"/>
              <w:bottom w:val="single" w:color="B8C4D6" w:sz="4"/>
              <w:right w:val="single" w:color="B8C4D6" w:sz="4"/>
            </w:tcBorders>
            <w:shd w:fill="F9DCDC"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Aucune utilisation professionnelle.</w:t>
            </w:r>
          </w:p>
        </w:tc>
      </w:tr>
    </w:tbl>
    <w:p>
      <w:pPr>
        <w:spacing w:after="60"/>
      </w:pPr>
      <w:r>
        <w:rPr>
          <w:rFonts w:ascii="Calibri" w:cs="Calibri" w:eastAsia="Calibri" w:hAnsi="Calibri"/>
          <w:sz w:val="22"/>
          <w:szCs w:val="22"/>
        </w:rPr>
        <w:t xml:space="preserve"/>
      </w:r>
    </w:p>
    <w:p>
      <w:pPr>
        <w:pStyle w:val="Heading2"/>
        <w:spacing w:after="120" w:before="240"/>
      </w:pPr>
      <w:r>
        <w:t xml:space="preserve">3.2 Comptes et accès</w:t>
      </w:r>
    </w:p>
    <w:p>
      <w:pPr>
        <w:pStyle w:val="ListParagraph"/>
        <w:numPr>
          <w:ilvl w:val="0"/>
          <w:numId w:val="2"/>
        </w:numPr>
        <w:spacing w:after="60" w:line="276"/>
      </w:pPr>
      <w:r>
        <w:rPr>
          <w:rFonts w:ascii="Calibri" w:cs="Calibri" w:eastAsia="Calibri" w:hAnsi="Calibri"/>
          <w:sz w:val="22"/>
          <w:szCs w:val="22"/>
        </w:rPr>
        <w:t xml:space="preserve">Les outils sont utilisés avec un compte professionnel, protégé par une authentification forte (MFA) et, lorsque c'est possible, rattaché à l'annuaire de l'entreprise. Les comptes personnels ne sont pas utilisés pour des données de l'entreprise, même en version payante.</w:t>
      </w:r>
    </w:p>
    <w:p>
      <w:pPr>
        <w:pStyle w:val="ListParagraph"/>
        <w:numPr>
          <w:ilvl w:val="0"/>
          <w:numId w:val="2"/>
        </w:numPr>
        <w:spacing w:after="60" w:line="276"/>
      </w:pPr>
      <w:r>
        <w:rPr>
          <w:rFonts w:ascii="Calibri" w:cs="Calibri" w:eastAsia="Calibri" w:hAnsi="Calibri"/>
          <w:sz w:val="22"/>
          <w:szCs w:val="22"/>
        </w:rPr>
        <w:t xml:space="preserve">Le partage de comptes est interdit. Les identifiants d'un outil d'IA sont des identifiants professionnels comme les autres.</w:t>
      </w:r>
    </w:p>
    <w:p>
      <w:pPr>
        <w:pStyle w:val="ListParagraph"/>
        <w:numPr>
          <w:ilvl w:val="0"/>
          <w:numId w:val="2"/>
        </w:numPr>
        <w:spacing w:after="60" w:line="276"/>
      </w:pPr>
      <w:r>
        <w:rPr>
          <w:rFonts w:ascii="Calibri" w:cs="Calibri" w:eastAsia="Calibri" w:hAnsi="Calibri"/>
          <w:sz w:val="22"/>
          <w:szCs w:val="22"/>
        </w:rPr>
        <w:t xml:space="preserve">Sur tout outil, l'utilisateur désactive, lorsque le paramétrage le permet, l'utilisation de ses conversations pour l'entraînement des modèles et l'historique persistant.</w:t>
      </w:r>
    </w:p>
    <w:p>
      <w:pPr>
        <w:pStyle w:val="Heading2"/>
        <w:spacing w:after="120" w:before="240"/>
      </w:pPr>
      <w:r>
        <w:t xml:space="preserve">3.3 Nouveaux outils, extensions et abonnements</w:t>
      </w:r>
    </w:p>
    <w:p>
      <w:pPr>
        <w:pStyle w:val="ListParagraph"/>
        <w:numPr>
          <w:ilvl w:val="0"/>
          <w:numId w:val="2"/>
        </w:numPr>
        <w:spacing w:after="60" w:line="276"/>
      </w:pPr>
      <w:r>
        <w:rPr>
          <w:rFonts w:ascii="Calibri" w:cs="Calibri" w:eastAsia="Calibri" w:hAnsi="Calibri"/>
          <w:sz w:val="22"/>
          <w:szCs w:val="22"/>
        </w:rPr>
        <w:t xml:space="preserve">L'installation d'extensions de navigateur, de plugins, d'applications ou d'agents IA sur le poste de travail ou dans les outils de l'entreprise est soumise à validation préalable du </w:t>
      </w:r>
      <w:r>
        <w:rPr>
          <w:rFonts w:ascii="Calibri" w:cs="Calibri" w:eastAsia="Calibri" w:hAnsi="Calibri"/>
          <w:sz w:val="22"/>
          <w:szCs w:val="22"/>
          <w:shd w:fill="FFF2A8" w:color="auto" w:val="clear"/>
        </w:rPr>
        <w:t xml:space="preserve">[service informatique / référent IA]</w:t>
      </w:r>
      <w:r>
        <w:rPr>
          <w:rFonts w:ascii="Calibri" w:cs="Calibri" w:eastAsia="Calibri" w:hAnsi="Calibri"/>
          <w:sz w:val="22"/>
          <w:szCs w:val="22"/>
        </w:rPr>
        <w:t xml:space="preserve">.</w:t>
      </w:r>
    </w:p>
    <w:p>
      <w:pPr>
        <w:pStyle w:val="ListParagraph"/>
        <w:numPr>
          <w:ilvl w:val="0"/>
          <w:numId w:val="2"/>
        </w:numPr>
        <w:spacing w:after="60" w:line="276"/>
      </w:pPr>
      <w:r>
        <w:rPr>
          <w:rFonts w:ascii="Calibri" w:cs="Calibri" w:eastAsia="Calibri" w:hAnsi="Calibri"/>
          <w:sz w:val="22"/>
          <w:szCs w:val="22"/>
        </w:rPr>
        <w:t xml:space="preserve">Aucun abonnement à un outil d'IA, même gratuit, à l'essai ou d'un montant inférieur aux seuils d'achat habituels, n'est souscrit au nom de l'entreprise ou pour un usage professionnel sans validation du référent IA.</w:t>
      </w:r>
    </w:p>
    <w:p>
      <w:pPr>
        <w:pStyle w:val="ListParagraph"/>
        <w:numPr>
          <w:ilvl w:val="0"/>
          <w:numId w:val="2"/>
        </w:numPr>
        <w:spacing w:after="60" w:line="276"/>
      </w:pPr>
      <w:r>
        <w:rPr>
          <w:rFonts w:ascii="Calibri" w:cs="Calibri" w:eastAsia="Calibri" w:hAnsi="Calibri"/>
          <w:sz w:val="22"/>
          <w:szCs w:val="22"/>
        </w:rPr>
        <w:t xml:space="preserve">Tout collaborateur peut demander l'évaluation d'un nouvel outil auprès du référent IA, qui répond sous </w:t>
      </w:r>
      <w:r>
        <w:rPr>
          <w:rFonts w:ascii="Calibri" w:cs="Calibri" w:eastAsia="Calibri" w:hAnsi="Calibri"/>
          <w:sz w:val="22"/>
          <w:szCs w:val="22"/>
          <w:shd w:fill="FFF2A8" w:color="auto" w:val="clear"/>
        </w:rPr>
        <w:t xml:space="preserve">[15 jours]</w:t>
      </w:r>
      <w:r>
        <w:rPr>
          <w:rFonts w:ascii="Calibri" w:cs="Calibri" w:eastAsia="Calibri" w:hAnsi="Calibri"/>
          <w:sz w:val="22"/>
          <w:szCs w:val="22"/>
        </w:rPr>
        <w:t xml:space="preserve"> ouvrés. Le référent IA recense périodiquement les outils réellement utilisés (article 12).</w:t>
      </w:r>
    </w:p>
    <w:p>
      <w:pPr>
        <w:pStyle w:val="ListParagraph"/>
        <w:numPr>
          <w:ilvl w:val="0"/>
          <w:numId w:val="2"/>
        </w:numPr>
        <w:spacing w:after="60" w:line="276"/>
      </w:pPr>
      <w:r>
        <w:rPr>
          <w:rFonts w:ascii="Calibri" w:cs="Calibri" w:eastAsia="Calibri" w:hAnsi="Calibri"/>
          <w:sz w:val="22"/>
          <w:szCs w:val="22"/>
        </w:rPr>
        <w:t xml:space="preserve">Le développement ou l'intégration d'un système d'IA dans un produit ou un service de l'entreprise relève d'une procédure distincte et fait l'objet d'une analyse de conformité spécifique (annexe B).</w:t>
      </w:r>
    </w:p>
    <w:p>
      <w:pPr>
        <w:pBdr>
          <w:left w:val="single" w:color="B8C4D6" w:sz="12" w:space="8"/>
        </w:pBdr>
        <w:spacing w:after="160" w:line="276"/>
        <w:ind w:left="360"/>
      </w:pPr>
      <w:r>
        <w:rPr>
          <w:rFonts w:ascii="Calibri" w:cs="Calibri" w:eastAsia="Calibri" w:hAnsi="Calibri"/>
          <w:b/>
          <w:bCs/>
          <w:i/>
          <w:iCs/>
          <w:color w:val="666666"/>
          <w:sz w:val="20"/>
          <w:szCs w:val="20"/>
        </w:rPr>
        <w:t xml:space="preserve">Note pour le rédacteur : </w:t>
      </w:r>
      <w:r>
        <w:rPr>
          <w:rFonts w:ascii="Calibri" w:cs="Calibri" w:eastAsia="Calibri" w:hAnsi="Calibri"/>
          <w:i/>
          <w:iCs/>
          <w:color w:val="666666"/>
          <w:sz w:val="20"/>
          <w:szCs w:val="20"/>
        </w:rPr>
        <w:t xml:space="preserve">C'est l'article le plus consulté. Nommez les outils dans l'annexe A plutôt que dans le corps de la charte, pour pouvoir mettre la liste à jour sans re-signer le document. La règle sur les comptes personnels est importante : plus de 100 000 comptes ChatGPT compromis par des logiciels voleurs de mots de passe ont été recensés par l'ANSSI en 2025, et un compte personnel échappe à toute gestion des accès. La règle sur les abonnements vise le « shadow AI » : sans elle, la cartographie des usages est impossible.</w:t>
      </w:r>
    </w:p>
    <w:p>
      <w:pPr>
        <w:pStyle w:val="Heading1"/>
        <w:spacing w:after="160" w:before="360"/>
      </w:pPr>
      <w:r>
        <w:t xml:space="preserve">Article 4. Données : ce qui peut être saisi dans un outil d'IA</w:t>
      </w:r>
    </w:p>
    <w:p>
      <w:pPr>
        <w:pStyle w:val="Heading2"/>
        <w:spacing w:after="120" w:before="240"/>
      </w:pPr>
      <w:r>
        <w:t xml:space="preserve">4.1 Le test de base</w:t>
      </w:r>
    </w:p>
    <w:p>
      <w:pPr>
        <w:spacing w:after="120" w:line="276"/>
      </w:pPr>
      <w:r>
        <w:rPr>
          <w:rFonts w:ascii="Calibri" w:cs="Calibri" w:eastAsia="Calibri" w:hAnsi="Calibri"/>
          <w:sz w:val="22"/>
          <w:szCs w:val="22"/>
        </w:rPr>
        <w:t xml:space="preserve">Avant de saisir une information dans un outil toléré (question, document joint, fichier, capture d'écran, enregistrement), l'utilisateur se pose une question simple : « Pourrais-je publier cette information sur Internet ? » Si la réponse est non, l'information n'est pas verte et un outil toléré ne convient pas.</w:t>
      </w:r>
    </w:p>
    <w:p>
      <w:pPr>
        <w:pStyle w:val="Heading2"/>
        <w:spacing w:after="120" w:before="240"/>
      </w:pPr>
      <w:r>
        <w:t xml:space="preserve">4.2 Classification des données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800"/>
        <w:gridCol w:w="4000"/>
        <w:gridCol w:w="3838"/>
      </w:tblGrid>
      <w:tr>
        <w:trPr>
          <w:tblHeader/>
        </w:trPr>
        <w:tc>
          <w:tcPr>
            <w:tcW w:type="dxa" w:w="1800"/>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Niveau</w:t>
            </w:r>
          </w:p>
        </w:tc>
        <w:tc>
          <w:tcPr>
            <w:tcW w:type="dxa" w:w="4000"/>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Exemples</w:t>
            </w:r>
          </w:p>
        </w:tc>
        <w:tc>
          <w:tcPr>
            <w:tcW w:type="dxa" w:w="3838"/>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Règle</w:t>
            </w:r>
          </w:p>
        </w:tc>
      </w:tr>
      <w:tr>
        <w:trPr>
          <w:tblHeader w:val="false"/>
        </w:trPr>
        <w:tc>
          <w:tcPr>
            <w:tcW w:type="dxa" w:w="1800"/>
            <w:tcBorders>
              <w:top w:val="single" w:color="B8C4D6" w:sz="4"/>
              <w:left w:val="single" w:color="B8C4D6" w:sz="4"/>
              <w:bottom w:val="single" w:color="B8C4D6" w:sz="4"/>
              <w:right w:val="single" w:color="B8C4D6" w:sz="4"/>
            </w:tcBorders>
            <w:shd w:fill="E3F4E3"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Vert : données publiques ou sans enjeu</w:t>
            </w:r>
          </w:p>
        </w:tc>
        <w:tc>
          <w:tcPr>
            <w:tcW w:type="dxa" w:w="4000"/>
            <w:tcBorders>
              <w:top w:val="single" w:color="B8C4D6" w:sz="4"/>
              <w:left w:val="single" w:color="B8C4D6" w:sz="4"/>
              <w:bottom w:val="single" w:color="B8C4D6" w:sz="4"/>
              <w:right w:val="single" w:color="B8C4D6" w:sz="4"/>
            </w:tcBorders>
            <w:shd w:fill="E3F4E3"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Informations déjà publiées (site web, brochures, communiqués), connaissances générales, textes rédigés par l'utilisateur ne contenant aucune information sur l'entreprise, ses clients ou des personnes.</w:t>
            </w:r>
          </w:p>
        </w:tc>
        <w:tc>
          <w:tcPr>
            <w:tcW w:type="dxa" w:w="3838"/>
            <w:tcBorders>
              <w:top w:val="single" w:color="B8C4D6" w:sz="4"/>
              <w:left w:val="single" w:color="B8C4D6" w:sz="4"/>
              <w:bottom w:val="single" w:color="B8C4D6" w:sz="4"/>
              <w:right w:val="single" w:color="B8C4D6" w:sz="4"/>
            </w:tcBorders>
            <w:shd w:fill="E3F4E3"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Autorisé sur tout outil approuvé ou toléré.</w:t>
            </w:r>
          </w:p>
        </w:tc>
      </w:tr>
      <w:tr>
        <w:trPr>
          <w:tblHeader w:val="false"/>
        </w:trPr>
        <w:tc>
          <w:tcPr>
            <w:tcW w:type="dxa" w:w="1800"/>
            <w:tcBorders>
              <w:top w:val="single" w:color="B8C4D6" w:sz="4"/>
              <w:left w:val="single" w:color="B8C4D6" w:sz="4"/>
              <w:bottom w:val="single" w:color="B8C4D6" w:sz="4"/>
              <w:right w:val="single" w:color="B8C4D6" w:sz="4"/>
            </w:tcBorders>
            <w:shd w:fill="FFE9CC"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Orange : données internes</w:t>
            </w:r>
          </w:p>
        </w:tc>
        <w:tc>
          <w:tcPr>
            <w:tcW w:type="dxa" w:w="4000"/>
            <w:tcBorders>
              <w:top w:val="single" w:color="B8C4D6" w:sz="4"/>
              <w:left w:val="single" w:color="B8C4D6" w:sz="4"/>
              <w:bottom w:val="single" w:color="B8C4D6" w:sz="4"/>
              <w:right w:val="single" w:color="B8C4D6" w:sz="4"/>
            </w:tcBorders>
            <w:shd w:fill="FFE9CC"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Documents de travail non publics, procédures internes, comptes rendus de réunion anonymisés, données commerciales agrégées, code source non sensible, données personnelles limitées aux coordonnées professionnelles.</w:t>
            </w:r>
          </w:p>
        </w:tc>
        <w:tc>
          <w:tcPr>
            <w:tcW w:type="dxa" w:w="3838"/>
            <w:tcBorders>
              <w:top w:val="single" w:color="B8C4D6" w:sz="4"/>
              <w:left w:val="single" w:color="B8C4D6" w:sz="4"/>
              <w:bottom w:val="single" w:color="B8C4D6" w:sz="4"/>
              <w:right w:val="single" w:color="B8C4D6" w:sz="4"/>
            </w:tcBorders>
            <w:shd w:fill="FFE9CC"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Autorisé uniquement sur un outil approuvé. Interdit sur les outils tolérés.</w:t>
            </w:r>
          </w:p>
        </w:tc>
      </w:tr>
      <w:tr>
        <w:trPr>
          <w:tblHeader w:val="false"/>
        </w:trPr>
        <w:tc>
          <w:tcPr>
            <w:tcW w:type="dxa" w:w="1800"/>
            <w:tcBorders>
              <w:top w:val="single" w:color="B8C4D6" w:sz="4"/>
              <w:left w:val="single" w:color="B8C4D6" w:sz="4"/>
              <w:bottom w:val="single" w:color="B8C4D6" w:sz="4"/>
              <w:right w:val="single" w:color="B8C4D6" w:sz="4"/>
            </w:tcBorders>
            <w:shd w:fill="F9DCDC"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Rouge : données sensibles ou protégées</w:t>
            </w:r>
          </w:p>
        </w:tc>
        <w:tc>
          <w:tcPr>
            <w:tcW w:type="dxa" w:w="4000"/>
            <w:tcBorders>
              <w:top w:val="single" w:color="B8C4D6" w:sz="4"/>
              <w:left w:val="single" w:color="B8C4D6" w:sz="4"/>
              <w:bottom w:val="single" w:color="B8C4D6" w:sz="4"/>
              <w:right w:val="single" w:color="B8C4D6" w:sz="4"/>
            </w:tcBorders>
            <w:shd w:fill="F9DCDC"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Données personnelles au sens du RGPD au-delà des coordonnées professionnelles ; données de santé et informations couvertes par le secret médical ; documents liés au recrutement, à la carrière, à l'évaluation, à la rémunération ou à la discipline ; secrets d'affaires, projets stratégiques, informations financières, contractuelles ou juridiques non publiées ; données clients couvertes par une clause de confidentialité ; identifiants, mots de passe, clés d'API, jetons et configurations techniques ; code source propriétaire ; informations relevant du secret professionnel ; propriété intellectuelle de tiers.</w:t>
            </w:r>
          </w:p>
        </w:tc>
        <w:tc>
          <w:tcPr>
            <w:tcW w:type="dxa" w:w="3838"/>
            <w:tcBorders>
              <w:top w:val="single" w:color="B8C4D6" w:sz="4"/>
              <w:left w:val="single" w:color="B8C4D6" w:sz="4"/>
              <w:bottom w:val="single" w:color="B8C4D6" w:sz="4"/>
              <w:right w:val="single" w:color="B8C4D6" w:sz="4"/>
            </w:tcBorders>
            <w:shd w:fill="F9DCDC"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Interdit par défaut. Autorisé uniquement sur un outil approuvé pour ce niveau dans le registre (annexe A), après validation du </w:t>
            </w:r>
            <w:r>
              <w:rPr>
                <w:rFonts w:ascii="Calibri" w:cs="Calibri" w:eastAsia="Calibri" w:hAnsi="Calibri"/>
                <w:sz w:val="20"/>
                <w:szCs w:val="20"/>
                <w:shd w:fill="FFF2A8" w:color="auto" w:val="clear"/>
              </w:rPr>
              <w:t xml:space="preserve">[DPO / responsable sécurité]</w:t>
            </w:r>
            <w:r>
              <w:rPr>
                <w:rFonts w:ascii="Calibri" w:cs="Calibri" w:eastAsia="Calibri" w:hAnsi="Calibri"/>
                <w:sz w:val="20"/>
                <w:szCs w:val="20"/>
              </w:rPr>
              <w:t xml:space="preserve">. Les secrets techniques (mots de passe, clés) ne sont saisis dans aucun outil.</w:t>
            </w:r>
          </w:p>
        </w:tc>
      </w:tr>
    </w:tbl>
    <w:p>
      <w:pPr>
        <w:spacing w:after="60"/>
      </w:pPr>
      <w:r>
        <w:rPr>
          <w:rFonts w:ascii="Calibri" w:cs="Calibri" w:eastAsia="Calibri" w:hAnsi="Calibri"/>
          <w:sz w:val="22"/>
          <w:szCs w:val="22"/>
        </w:rPr>
        <w:t xml:space="preserve"/>
      </w:r>
    </w:p>
    <w:p>
      <w:pPr>
        <w:pStyle w:val="Heading2"/>
        <w:spacing w:after="120" w:before="240"/>
      </w:pPr>
      <w:r>
        <w:t xml:space="preserve">4.3 Données personnelles</w:t>
      </w:r>
    </w:p>
    <w:p>
      <w:pPr>
        <w:spacing w:after="120" w:line="276"/>
      </w:pPr>
      <w:r>
        <w:rPr>
          <w:rFonts w:ascii="Calibri" w:cs="Calibri" w:eastAsia="Calibri" w:hAnsi="Calibri"/>
          <w:sz w:val="22"/>
          <w:szCs w:val="22"/>
        </w:rPr>
        <w:t xml:space="preserve">Le traitement de données personnelles par un outil d'IA est un traitement au sens du RGPD. Il n'est possible que si l'outil figure au registre des traitements, qu'une base légale existe, que les personnes ont été informées et, pour un outil externe, qu'un contrat de sous-traitance (article 28 du RGPD) a été signé. En pratique :</w:t>
      </w:r>
    </w:p>
    <w:p>
      <w:pPr>
        <w:pStyle w:val="ListParagraph"/>
        <w:numPr>
          <w:ilvl w:val="0"/>
          <w:numId w:val="2"/>
        </w:numPr>
        <w:spacing w:after="60" w:line="276"/>
      </w:pPr>
      <w:r>
        <w:rPr>
          <w:rFonts w:ascii="Calibri" w:cs="Calibri" w:eastAsia="Calibri" w:hAnsi="Calibri"/>
          <w:sz w:val="22"/>
          <w:szCs w:val="22"/>
        </w:rPr>
        <w:t xml:space="preserve">les données personnelles sont anonymisées ou pseudonymisées avant saisie dès que c'est possible (remplacer les noms par des rôles, supprimer les identifiants) ;</w:t>
      </w:r>
    </w:p>
    <w:p>
      <w:pPr>
        <w:pStyle w:val="ListParagraph"/>
        <w:numPr>
          <w:ilvl w:val="0"/>
          <w:numId w:val="2"/>
        </w:numPr>
        <w:spacing w:after="60" w:line="276"/>
      </w:pPr>
      <w:r>
        <w:rPr>
          <w:rFonts w:ascii="Calibri" w:cs="Calibri" w:eastAsia="Calibri" w:hAnsi="Calibri"/>
          <w:sz w:val="22"/>
          <w:szCs w:val="22"/>
        </w:rPr>
        <w:t xml:space="preserve">aucune donnée personnelle n'est saisie dans un outil toléré ;</w:t>
      </w:r>
    </w:p>
    <w:p>
      <w:pPr>
        <w:pStyle w:val="ListParagraph"/>
        <w:numPr>
          <w:ilvl w:val="0"/>
          <w:numId w:val="2"/>
        </w:numPr>
        <w:spacing w:after="60" w:line="276"/>
      </w:pPr>
      <w:r>
        <w:rPr>
          <w:rFonts w:ascii="Calibri" w:cs="Calibri" w:eastAsia="Calibri" w:hAnsi="Calibri"/>
          <w:sz w:val="22"/>
          <w:szCs w:val="22"/>
        </w:rPr>
        <w:t xml:space="preserve">les demandes concernant des données de santé, des données de mineurs ou des données relevant de l'article 9 du RGPD (origine, opinions, santé, orientation, etc.) sont soumises au DPO avant tout traitement ;</w:t>
      </w:r>
    </w:p>
    <w:p>
      <w:pPr>
        <w:pStyle w:val="ListParagraph"/>
        <w:numPr>
          <w:ilvl w:val="0"/>
          <w:numId w:val="2"/>
        </w:numPr>
        <w:spacing w:after="60" w:line="276"/>
      </w:pPr>
      <w:r>
        <w:rPr>
          <w:rFonts w:ascii="Calibri" w:cs="Calibri" w:eastAsia="Calibri" w:hAnsi="Calibri"/>
          <w:sz w:val="22"/>
          <w:szCs w:val="22"/>
        </w:rPr>
        <w:t xml:space="preserve">les transferts de données hors de l'Union européenne sont encadrés selon la politique de protection des données de l'entreprise.</w:t>
      </w:r>
    </w:p>
    <w:p>
      <w:pPr>
        <w:pStyle w:val="Heading2"/>
        <w:spacing w:after="120" w:before="240"/>
      </w:pPr>
      <w:r>
        <w:t xml:space="preserve">4.4 Données de clients et de partenaires</w:t>
      </w:r>
    </w:p>
    <w:p>
      <w:pPr>
        <w:spacing w:after="120" w:line="276"/>
      </w:pPr>
      <w:r>
        <w:rPr>
          <w:rFonts w:ascii="Calibri" w:cs="Calibri" w:eastAsia="Calibri" w:hAnsi="Calibri"/>
          <w:sz w:val="22"/>
          <w:szCs w:val="22"/>
        </w:rPr>
        <w:t xml:space="preserve">Les données confiées par un client ou un partenaire sont traitées selon les engagements contractuels pris avec lui. En l'absence de clause spécifique, elles sont classées en catégorie rouge. Lorsque le contrat prévoit l'usage d'outils d'IA, seuls les outils qui y sont mentionnés sont utilisés.</w:t>
      </w:r>
    </w:p>
    <w:p>
      <w:pPr>
        <w:pBdr>
          <w:left w:val="single" w:color="B8C4D6" w:sz="12" w:space="8"/>
        </w:pBdr>
        <w:spacing w:after="160" w:line="276"/>
        <w:ind w:left="360"/>
      </w:pPr>
      <w:r>
        <w:rPr>
          <w:rFonts w:ascii="Calibri" w:cs="Calibri" w:eastAsia="Calibri" w:hAnsi="Calibri"/>
          <w:b/>
          <w:bCs/>
          <w:i/>
          <w:iCs/>
          <w:color w:val="666666"/>
          <w:sz w:val="20"/>
          <w:szCs w:val="20"/>
        </w:rPr>
        <w:t xml:space="preserve">Note pour le rédacteur : </w:t>
      </w:r>
      <w:r>
        <w:rPr>
          <w:rFonts w:ascii="Calibri" w:cs="Calibri" w:eastAsia="Calibri" w:hAnsi="Calibri"/>
          <w:i/>
          <w:iCs/>
          <w:color w:val="666666"/>
          <w:sz w:val="20"/>
          <w:szCs w:val="20"/>
        </w:rPr>
        <w:t xml:space="preserve">C'est l'article où le risque juridique est le plus concret : une fuite de données personnelles vers un outil non maîtrisé est une violation de données à notifier à la CNIL sous 72 heures, et la cour d'appel de Paris a jugé en 2022 que la transmission de données confidentielles à un tiers non autorisé pouvait constituer une faute grave. La liste rouge reprend les catégories que l'ANSSI recommande de ne jamais saisir dans un outil en ligne (recommandation R34). Faites valider cette classification par votre DPO et alignez-la sur votre politique de classification existante. Si vous n'avez pas de DPO, désignez la personne qui joue ce rôle.</w:t>
      </w:r>
    </w:p>
    <w:p>
      <w:pPr>
        <w:pStyle w:val="Heading1"/>
        <w:spacing w:after="160" w:before="360"/>
      </w:pPr>
      <w:r>
        <w:t xml:space="preserve">Article 5. Vérification et responsabilité des contenus produits</w:t>
      </w:r>
    </w:p>
    <w:p>
      <w:pPr>
        <w:pStyle w:val="Heading2"/>
        <w:spacing w:after="120" w:before="240"/>
      </w:pPr>
      <w:r>
        <w:t xml:space="preserve">5.1 Principe</w:t>
      </w:r>
    </w:p>
    <w:p>
      <w:pPr>
        <w:spacing w:after="120" w:line="276"/>
      </w:pPr>
      <w:r>
        <w:rPr>
          <w:rFonts w:ascii="Calibri" w:cs="Calibri" w:eastAsia="Calibri" w:hAnsi="Calibri"/>
          <w:sz w:val="22"/>
          <w:szCs w:val="22"/>
        </w:rPr>
        <w:t xml:space="preserve">Un contenu généré par une IA est un brouillon. L'utilisateur qui le reprend en devient l'auteur et en assume la responsabilité, comme s'il l'avait rédigé lui-même. Aucun contenu généré n'est reproduit tel quel sans relecture.</w:t>
      </w:r>
    </w:p>
    <w:p>
      <w:pPr>
        <w:pStyle w:val="Heading2"/>
        <w:spacing w:after="120" w:before="240"/>
      </w:pPr>
      <w:r>
        <w:t xml:space="preserve">5.2 Niveau de vérification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600"/>
        <w:gridCol w:w="3400"/>
        <w:gridCol w:w="3638"/>
      </w:tblGrid>
      <w:tr>
        <w:trPr>
          <w:tblHeader/>
        </w:trPr>
        <w:tc>
          <w:tcPr>
            <w:tcW w:type="dxa" w:w="2600"/>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Usage</w:t>
            </w:r>
          </w:p>
        </w:tc>
        <w:tc>
          <w:tcPr>
            <w:tcW w:type="dxa" w:w="3400"/>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Exemples</w:t>
            </w:r>
          </w:p>
        </w:tc>
        <w:tc>
          <w:tcPr>
            <w:tcW w:type="dxa" w:w="3638"/>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Vérification attendue</w:t>
            </w:r>
          </w:p>
        </w:tc>
      </w:tr>
      <w:tr>
        <w:trPr>
          <w:tblHeader w:val="false"/>
        </w:trPr>
        <w:tc>
          <w:tcPr>
            <w:tcW w:type="dxa" w:w="26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Usage personnel de travail</w:t>
            </w:r>
          </w:p>
        </w:tc>
        <w:tc>
          <w:tcPr>
            <w:tcW w:type="dxa" w:w="34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Résumé pour soi, reformulation, remue-méninges, traduction de travail.</w:t>
            </w:r>
          </w:p>
        </w:tc>
        <w:tc>
          <w:tcPr>
            <w:tcW w:type="dxa" w:w="36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Relecture par l'utilisateur.</w:t>
            </w:r>
          </w:p>
        </w:tc>
      </w:tr>
      <w:tr>
        <w:trPr>
          <w:tblHeader w:val="false"/>
        </w:trPr>
        <w:tc>
          <w:tcPr>
            <w:tcW w:type="dxa" w:w="26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Usage interne</w:t>
            </w:r>
          </w:p>
        </w:tc>
        <w:tc>
          <w:tcPr>
            <w:tcW w:type="dxa" w:w="34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Compte rendu, note interne, présentation, code interne.</w:t>
            </w:r>
          </w:p>
        </w:tc>
        <w:tc>
          <w:tcPr>
            <w:tcW w:type="dxa" w:w="36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Relecture complète, vérification des faits et chiffres cités, test du code.</w:t>
            </w:r>
          </w:p>
        </w:tc>
      </w:tr>
      <w:tr>
        <w:trPr>
          <w:tblHeader w:val="false"/>
        </w:trPr>
        <w:tc>
          <w:tcPr>
            <w:tcW w:type="dxa" w:w="26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Usage externe</w:t>
            </w:r>
          </w:p>
        </w:tc>
        <w:tc>
          <w:tcPr>
            <w:tcW w:type="dxa" w:w="34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Email à un client, proposition commerciale, contenu publié, contrat, réponse à un appel d'offres, code livré.</w:t>
            </w:r>
          </w:p>
        </w:tc>
        <w:tc>
          <w:tcPr>
            <w:tcW w:type="dxa" w:w="36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Relecture complète, vérification de chaque fait, chiffre, citation et référence auprès d'une source fiable, validation par </w:t>
            </w:r>
            <w:r>
              <w:rPr>
                <w:rFonts w:ascii="Calibri" w:cs="Calibri" w:eastAsia="Calibri" w:hAnsi="Calibri"/>
                <w:sz w:val="20"/>
                <w:szCs w:val="20"/>
                <w:shd w:fill="FFF2A8" w:color="auto" w:val="clear"/>
              </w:rPr>
              <w:t xml:space="preserve">[un second regard / le responsable hiérarchique]</w:t>
            </w:r>
            <w:r>
              <w:rPr>
                <w:rFonts w:ascii="Calibri" w:cs="Calibri" w:eastAsia="Calibri" w:hAnsi="Calibri"/>
                <w:sz w:val="20"/>
                <w:szCs w:val="20"/>
              </w:rPr>
              <w:t xml:space="preserve"> selon les procédures habituelles.</w:t>
            </w:r>
          </w:p>
        </w:tc>
      </w:tr>
      <w:tr>
        <w:trPr>
          <w:tblHeader w:val="false"/>
        </w:trPr>
        <w:tc>
          <w:tcPr>
            <w:tcW w:type="dxa" w:w="26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Décision affectant une personne</w:t>
            </w:r>
          </w:p>
        </w:tc>
        <w:tc>
          <w:tcPr>
            <w:tcW w:type="dxa" w:w="34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Recrutement, évaluation, sanction, attribution, refus.</w:t>
            </w:r>
          </w:p>
        </w:tc>
        <w:tc>
          <w:tcPr>
            <w:tcW w:type="dxa" w:w="36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L'IA ne prend pas la décision. Elle peut préparer des éléments qu'un décideur humain examine et assume (article 12).</w:t>
            </w:r>
          </w:p>
        </w:tc>
      </w:tr>
    </w:tbl>
    <w:p>
      <w:pPr>
        <w:spacing w:after="60"/>
      </w:pPr>
      <w:r>
        <w:rPr>
          <w:rFonts w:ascii="Calibri" w:cs="Calibri" w:eastAsia="Calibri" w:hAnsi="Calibri"/>
          <w:sz w:val="22"/>
          <w:szCs w:val="22"/>
        </w:rPr>
        <w:t xml:space="preserve"/>
      </w:r>
    </w:p>
    <w:p>
      <w:pPr>
        <w:pStyle w:val="Heading2"/>
        <w:spacing w:after="120" w:before="240"/>
      </w:pPr>
      <w:r>
        <w:t xml:space="preserve">5.3 Points de vigilance</w:t>
      </w:r>
    </w:p>
    <w:p>
      <w:pPr>
        <w:pStyle w:val="ListParagraph"/>
        <w:numPr>
          <w:ilvl w:val="0"/>
          <w:numId w:val="2"/>
        </w:numPr>
        <w:spacing w:after="60" w:line="276"/>
      </w:pPr>
      <w:r>
        <w:rPr>
          <w:rFonts w:ascii="Calibri" w:cs="Calibri" w:eastAsia="Calibri" w:hAnsi="Calibri"/>
          <w:sz w:val="22"/>
          <w:szCs w:val="22"/>
        </w:rPr>
        <w:t xml:space="preserve">Les outils d'IA générative peuvent inventer des faits, des chiffres, des citations, des références juridiques ou des sources qui n'existent pas. Toute référence est vérifiée à la source, en trois temps : demander ses sources à l'outil, vérifier qu'elles existent et qu'elles disent bien ce qui est affirmé, relire le contenu pour repérer erreurs, biais et simplifications.</w:t>
      </w:r>
    </w:p>
    <w:p>
      <w:pPr>
        <w:pStyle w:val="ListParagraph"/>
        <w:numPr>
          <w:ilvl w:val="0"/>
          <w:numId w:val="2"/>
        </w:numPr>
        <w:spacing w:after="60" w:line="276"/>
      </w:pPr>
      <w:r>
        <w:rPr>
          <w:rFonts w:ascii="Calibri" w:cs="Calibri" w:eastAsia="Calibri" w:hAnsi="Calibri"/>
          <w:sz w:val="22"/>
          <w:szCs w:val="22"/>
        </w:rPr>
        <w:t xml:space="preserve">Les calculs, dates, conversions et données chiffrées sont recalculés ou vérifiés indépendamment.</w:t>
      </w:r>
    </w:p>
    <w:p>
      <w:pPr>
        <w:pStyle w:val="ListParagraph"/>
        <w:numPr>
          <w:ilvl w:val="0"/>
          <w:numId w:val="2"/>
        </w:numPr>
        <w:spacing w:after="60" w:line="276"/>
      </w:pPr>
      <w:r>
        <w:rPr>
          <w:rFonts w:ascii="Calibri" w:cs="Calibri" w:eastAsia="Calibri" w:hAnsi="Calibri"/>
          <w:sz w:val="22"/>
          <w:szCs w:val="22"/>
        </w:rPr>
        <w:t xml:space="preserve">Les traductions destinées à un usage externe ou contractuel sont relues par une personne maîtrisant la langue cible.</w:t>
      </w:r>
    </w:p>
    <w:p>
      <w:pPr>
        <w:pStyle w:val="ListParagraph"/>
        <w:numPr>
          <w:ilvl w:val="0"/>
          <w:numId w:val="2"/>
        </w:numPr>
        <w:spacing w:after="60" w:line="276"/>
      </w:pPr>
      <w:r>
        <w:rPr>
          <w:rFonts w:ascii="Calibri" w:cs="Calibri" w:eastAsia="Calibri" w:hAnsi="Calibri"/>
          <w:sz w:val="22"/>
          <w:szCs w:val="22"/>
        </w:rPr>
        <w:t xml:space="preserve">Les contenus produits sont conformes à la ligne éditoriale, aux valeurs de l'entreprise et à ses obligations réglementaires (mentions légales, publicité, secteurs réglementés).</w:t>
      </w:r>
    </w:p>
    <w:p>
      <w:pPr>
        <w:pStyle w:val="Heading2"/>
        <w:spacing w:after="120" w:before="240"/>
      </w:pPr>
      <w:r>
        <w:t xml:space="preserve">5.4 Code généré par IA</w:t>
      </w:r>
    </w:p>
    <w:p>
      <w:pPr>
        <w:pStyle w:val="ListParagraph"/>
        <w:numPr>
          <w:ilvl w:val="0"/>
          <w:numId w:val="2"/>
        </w:numPr>
        <w:spacing w:after="60" w:line="276"/>
      </w:pPr>
      <w:r>
        <w:rPr>
          <w:rFonts w:ascii="Calibri" w:cs="Calibri" w:eastAsia="Calibri" w:hAnsi="Calibri"/>
          <w:sz w:val="22"/>
          <w:szCs w:val="22"/>
        </w:rPr>
        <w:t xml:space="preserve">Le code généré est relu, testé et passé par les mêmes revues que le code écrit à la main. Il n'est ni exécuté ni intégré automatiquement dans un dépôt sans revue humaine.</w:t>
      </w:r>
    </w:p>
    <w:p>
      <w:pPr>
        <w:pStyle w:val="ListParagraph"/>
        <w:numPr>
          <w:ilvl w:val="0"/>
          <w:numId w:val="2"/>
        </w:numPr>
        <w:spacing w:after="60" w:line="276"/>
      </w:pPr>
      <w:r>
        <w:rPr>
          <w:rFonts w:ascii="Calibri" w:cs="Calibri" w:eastAsia="Calibri" w:hAnsi="Calibri"/>
          <w:sz w:val="22"/>
          <w:szCs w:val="22"/>
        </w:rPr>
        <w:t xml:space="preserve">Les bibliothèques et paquets suggérés par l'IA sont vérifiés avant installation : l'IA peut inventer des noms de paquets, que des attaquants publient ensuite sous forme malveillante.</w:t>
      </w:r>
    </w:p>
    <w:p>
      <w:pPr>
        <w:pStyle w:val="ListParagraph"/>
        <w:numPr>
          <w:ilvl w:val="0"/>
          <w:numId w:val="2"/>
        </w:numPr>
        <w:spacing w:after="60" w:line="276"/>
      </w:pPr>
      <w:r>
        <w:rPr>
          <w:rFonts w:ascii="Calibri" w:cs="Calibri" w:eastAsia="Calibri" w:hAnsi="Calibri"/>
          <w:sz w:val="22"/>
          <w:szCs w:val="22"/>
        </w:rPr>
        <w:t xml:space="preserve">L'IA n'est pas utilisée pour écrire les modules critiques (authentification, chiffrement, gestion des droits, traitement de données sensibles) sans revue renforcée.</w:t>
      </w:r>
    </w:p>
    <w:p>
      <w:pPr>
        <w:pStyle w:val="ListParagraph"/>
        <w:numPr>
          <w:ilvl w:val="0"/>
          <w:numId w:val="2"/>
        </w:numPr>
        <w:spacing w:after="60" w:line="276"/>
      </w:pPr>
      <w:r>
        <w:rPr>
          <w:rFonts w:ascii="Calibri" w:cs="Calibri" w:eastAsia="Calibri" w:hAnsi="Calibri"/>
          <w:sz w:val="22"/>
          <w:szCs w:val="22"/>
        </w:rPr>
        <w:t xml:space="preserve">Le code source propriétaire n'est jamais saisi dans un outil toléré.</w:t>
      </w:r>
    </w:p>
    <w:p>
      <w:pPr>
        <w:pStyle w:val="Heading2"/>
        <w:spacing w:after="120" w:before="240"/>
      </w:pPr>
      <w:r>
        <w:t xml:space="preserve">5.5 Renoncer à l'IA</w:t>
      </w:r>
    </w:p>
    <w:p>
      <w:pPr>
        <w:spacing w:after="120" w:line="276"/>
      </w:pPr>
      <w:r>
        <w:rPr>
          <w:rFonts w:ascii="Calibri" w:cs="Calibri" w:eastAsia="Calibri" w:hAnsi="Calibri"/>
          <w:sz w:val="22"/>
          <w:szCs w:val="22"/>
        </w:rPr>
        <w:t xml:space="preserve">L'utilisateur renonce à l'IA pour une tâche donnée lorsque : les données nécessaires sont rouges et aucun outil approuvé ne les accepte ; il ne comprend pas les conditions d'utilisation de l'outil ; il n'est pas en mesure d'évaluer l'exactitude ou l'impartialité du résultat ; la tâche exige de pouvoir expliquer précisément comment le résultat a été obtenu ; une méthode classique donne un résultat équivalent pour un coût moindre ; sa hiérarchie l'a exclu pour ce type de tâche. Les processus essentiels de l'entreprise restent réalisables sans IA.</w:t>
      </w:r>
    </w:p>
    <w:p>
      <w:pPr>
        <w:pBdr>
          <w:left w:val="single" w:color="B8C4D6" w:sz="12" w:space="8"/>
        </w:pBdr>
        <w:spacing w:after="160" w:line="276"/>
        <w:ind w:left="360"/>
      </w:pPr>
      <w:r>
        <w:rPr>
          <w:rFonts w:ascii="Calibri" w:cs="Calibri" w:eastAsia="Calibri" w:hAnsi="Calibri"/>
          <w:b/>
          <w:bCs/>
          <w:i/>
          <w:iCs/>
          <w:color w:val="666666"/>
          <w:sz w:val="20"/>
          <w:szCs w:val="20"/>
        </w:rPr>
        <w:t xml:space="preserve">Note pour le rédacteur : </w:t>
      </w:r>
      <w:r>
        <w:rPr>
          <w:rFonts w:ascii="Calibri" w:cs="Calibri" w:eastAsia="Calibri" w:hAnsi="Calibri"/>
          <w:i/>
          <w:iCs/>
          <w:color w:val="666666"/>
          <w:sz w:val="20"/>
          <w:szCs w:val="20"/>
        </w:rPr>
        <w:t xml:space="preserve">Adaptez le tableau 5.2 à vos métiers. Un cabinet d'avocats ajoutera une ligne sur les références jurisprudentielles, une agence sur les visuels publiés, une ESN sur le code livré. La section 5.4 reprend les recommandations R30 à R32 de l'ANSSI ; supprimez-la si personne ne développe dans l'entreprise, y compris en prestation. La liste 5.5 est inspirée de la charte du ministère de la Culture.</w:t>
      </w:r>
    </w:p>
    <w:p>
      <w:pPr>
        <w:pStyle w:val="Heading1"/>
        <w:spacing w:after="160" w:before="360"/>
      </w:pPr>
      <w:r>
        <w:t xml:space="preserve">Article 6. Transparence sur l'usage de l'IA</w:t>
      </w:r>
    </w:p>
    <w:p>
      <w:pPr>
        <w:pStyle w:val="Heading2"/>
        <w:spacing w:after="120" w:before="240"/>
      </w:pPr>
      <w:r>
        <w:t xml:space="preserve">6.1 Obligations légales</w:t>
      </w:r>
    </w:p>
    <w:p>
      <w:pPr>
        <w:spacing w:after="120" w:line="276"/>
      </w:pPr>
      <w:r>
        <w:rPr>
          <w:rFonts w:ascii="Calibri" w:cs="Calibri" w:eastAsia="Calibri" w:hAnsi="Calibri"/>
          <w:sz w:val="22"/>
          <w:szCs w:val="22"/>
        </w:rPr>
        <w:t xml:space="preserve">Depuis le 2 août 2026, l'article 50 de l'AI Act impose des obligations de transparence. Dans le cadre des activités de l'entreprise :</w:t>
      </w:r>
    </w:p>
    <w:p>
      <w:pPr>
        <w:pStyle w:val="ListParagraph"/>
        <w:numPr>
          <w:ilvl w:val="0"/>
          <w:numId w:val="2"/>
        </w:numPr>
        <w:spacing w:after="60" w:line="276"/>
      </w:pPr>
      <w:r>
        <w:rPr>
          <w:rFonts w:ascii="Calibri" w:cs="Calibri" w:eastAsia="Calibri" w:hAnsi="Calibri"/>
          <w:sz w:val="22"/>
          <w:szCs w:val="22"/>
        </w:rPr>
        <w:t xml:space="preserve">toute personne qui interagit avec un système d'IA (assistant conversationnel, agent, chatbot) doit en être informée, sauf si c'est évident au regard du contexte ;</w:t>
      </w:r>
    </w:p>
    <w:p>
      <w:pPr>
        <w:pStyle w:val="ListParagraph"/>
        <w:numPr>
          <w:ilvl w:val="0"/>
          <w:numId w:val="2"/>
        </w:numPr>
        <w:spacing w:after="60" w:line="276"/>
      </w:pPr>
      <w:r>
        <w:rPr>
          <w:rFonts w:ascii="Calibri" w:cs="Calibri" w:eastAsia="Calibri" w:hAnsi="Calibri"/>
          <w:sz w:val="22"/>
          <w:szCs w:val="22"/>
        </w:rPr>
        <w:t xml:space="preserve">les contenus image, audio ou vidéo générés ou manipulés par IA qui pourraient être pris pour authentiques (hypertrucages) sont signalés comme tels ;</w:t>
      </w:r>
    </w:p>
    <w:p>
      <w:pPr>
        <w:pStyle w:val="ListParagraph"/>
        <w:numPr>
          <w:ilvl w:val="0"/>
          <w:numId w:val="2"/>
        </w:numPr>
        <w:spacing w:after="60" w:line="276"/>
      </w:pPr>
      <w:r>
        <w:rPr>
          <w:rFonts w:ascii="Calibri" w:cs="Calibri" w:eastAsia="Calibri" w:hAnsi="Calibri"/>
          <w:sz w:val="22"/>
          <w:szCs w:val="22"/>
        </w:rPr>
        <w:t xml:space="preserve">les textes générés par IA et publiés pour informer le public sur des questions d'intérêt général sont signalés comme tels, sauf s'ils ont fait l'objet d'une relecture et d'une prise de responsabilité éditoriale humaine.</w:t>
      </w:r>
    </w:p>
    <w:p>
      <w:pPr>
        <w:pStyle w:val="Heading2"/>
        <w:spacing w:after="120" w:before="240"/>
      </w:pPr>
      <w:r>
        <w:t xml:space="preserve">6.2 Règles internes</w:t>
      </w:r>
    </w:p>
    <w:p>
      <w:pPr>
        <w:pStyle w:val="ListParagraph"/>
        <w:numPr>
          <w:ilvl w:val="0"/>
          <w:numId w:val="2"/>
        </w:numPr>
        <w:spacing w:after="60" w:line="276"/>
      </w:pPr>
      <w:r>
        <w:rPr>
          <w:rFonts w:ascii="Calibri" w:cs="Calibri" w:eastAsia="Calibri" w:hAnsi="Calibri"/>
          <w:sz w:val="22"/>
          <w:szCs w:val="22"/>
        </w:rPr>
        <w:t xml:space="preserve">En interne, l'usage de l'IA pour préparer un document n'a pas à être signalé, sauf demande du destinataire ou lorsque l'IA a joué un rôle substantiel dans un document engageant (note de décision, évaluation, rapport).</w:t>
      </w:r>
    </w:p>
    <w:p>
      <w:pPr>
        <w:pStyle w:val="ListParagraph"/>
        <w:numPr>
          <w:ilvl w:val="0"/>
          <w:numId w:val="2"/>
        </w:numPr>
        <w:spacing w:after="60" w:line="276"/>
      </w:pPr>
      <w:r>
        <w:rPr>
          <w:rFonts w:ascii="Calibri" w:cs="Calibri" w:eastAsia="Calibri" w:hAnsi="Calibri"/>
          <w:sz w:val="22"/>
          <w:szCs w:val="22"/>
        </w:rPr>
        <w:t xml:space="preserve">Vis-à-vis des clients et partenaires, l'usage de l'IA est signalé lorsqu'il est demandé, prévu au contrat ou lorsqu'il porte sur une part substantielle d'une prestation intellectuelle facturée.</w:t>
      </w:r>
    </w:p>
    <w:p>
      <w:pPr>
        <w:pStyle w:val="ListParagraph"/>
        <w:numPr>
          <w:ilvl w:val="0"/>
          <w:numId w:val="2"/>
        </w:numPr>
        <w:spacing w:after="60" w:line="276"/>
      </w:pPr>
      <w:r>
        <w:rPr>
          <w:rFonts w:ascii="Calibri" w:cs="Calibri" w:eastAsia="Calibri" w:hAnsi="Calibri"/>
          <w:sz w:val="22"/>
          <w:szCs w:val="22"/>
        </w:rPr>
        <w:t xml:space="preserve">Lorsqu'une mention est requise, la formule de référence est : « Contenu rédigé avec l'assistance d'un outil d'IA et vérifié par </w:t>
      </w:r>
      <w:r>
        <w:rPr>
          <w:rFonts w:ascii="Calibri" w:cs="Calibri" w:eastAsia="Calibri" w:hAnsi="Calibri"/>
          <w:sz w:val="22"/>
          <w:szCs w:val="22"/>
          <w:shd w:fill="FFF2A8" w:color="auto" w:val="clear"/>
        </w:rPr>
        <w:t xml:space="preserve">[prénom, nom]</w:t>
      </w:r>
      <w:r>
        <w:rPr>
          <w:rFonts w:ascii="Calibri" w:cs="Calibri" w:eastAsia="Calibri" w:hAnsi="Calibri"/>
          <w:sz w:val="22"/>
          <w:szCs w:val="22"/>
        </w:rPr>
        <w:t xml:space="preserve"> ». Une simple traduction, une correction de langue ou une reformulation marginale ne nécessitent pas de mention.</w:t>
      </w:r>
    </w:p>
    <w:p>
      <w:pPr>
        <w:pStyle w:val="ListParagraph"/>
        <w:numPr>
          <w:ilvl w:val="0"/>
          <w:numId w:val="2"/>
        </w:numPr>
        <w:spacing w:after="60" w:line="276"/>
      </w:pPr>
      <w:r>
        <w:rPr>
          <w:rFonts w:ascii="Calibri" w:cs="Calibri" w:eastAsia="Calibri" w:hAnsi="Calibri"/>
          <w:sz w:val="22"/>
          <w:szCs w:val="22"/>
        </w:rPr>
        <w:t xml:space="preserve">Les visuels, voix ou vidéos générés par IA et diffusés à l'extérieur portent une mention </w:t>
      </w:r>
      <w:r>
        <w:rPr>
          <w:rFonts w:ascii="Calibri" w:cs="Calibri" w:eastAsia="Calibri" w:hAnsi="Calibri"/>
          <w:sz w:val="22"/>
          <w:szCs w:val="22"/>
          <w:shd w:fill="FFF2A8" w:color="auto" w:val="clear"/>
        </w:rPr>
        <w:t xml:space="preserve">[« Image générée par IA » / mention équivalente]</w:t>
      </w:r>
      <w:r>
        <w:rPr>
          <w:rFonts w:ascii="Calibri" w:cs="Calibri" w:eastAsia="Calibri" w:hAnsi="Calibri"/>
          <w:sz w:val="22"/>
          <w:szCs w:val="22"/>
        </w:rPr>
        <w:t xml:space="preserve">, conformément aux pratiques définies par </w:t>
      </w:r>
      <w:r>
        <w:rPr>
          <w:rFonts w:ascii="Calibri" w:cs="Calibri" w:eastAsia="Calibri" w:hAnsi="Calibri"/>
          <w:sz w:val="22"/>
          <w:szCs w:val="22"/>
          <w:shd w:fill="FFF2A8" w:color="auto" w:val="clear"/>
        </w:rPr>
        <w:t xml:space="preserve">[la direction de la communication]</w:t>
      </w:r>
      <w:r>
        <w:rPr>
          <w:rFonts w:ascii="Calibri" w:cs="Calibri" w:eastAsia="Calibri" w:hAnsi="Calibri"/>
          <w:sz w:val="22"/>
          <w:szCs w:val="22"/>
        </w:rPr>
        <w:t xml:space="preserve">. Les visuels générés ne représentent pas de personnes réelles reconnaissables.</w:t>
      </w:r>
    </w:p>
    <w:p>
      <w:pPr>
        <w:pStyle w:val="ListParagraph"/>
        <w:numPr>
          <w:ilvl w:val="0"/>
          <w:numId w:val="2"/>
        </w:numPr>
        <w:spacing w:after="60" w:line="276"/>
      </w:pPr>
      <w:r>
        <w:rPr>
          <w:rFonts w:ascii="Calibri" w:cs="Calibri" w:eastAsia="Calibri" w:hAnsi="Calibri"/>
          <w:sz w:val="22"/>
          <w:szCs w:val="22"/>
        </w:rPr>
        <w:t xml:space="preserve">Un contenu généré par IA n'est jamais présenté comme l'œuvre d'une personne réelle identifiable (imitation de voix, de style, de visage) sans son accord écrit, et l'IA n'est pas utilisée pour reformuler des propos tenus par une personne en les lui attribuant.</w:t>
      </w:r>
    </w:p>
    <w:p>
      <w:pPr>
        <w:pBdr>
          <w:left w:val="single" w:color="B8C4D6" w:sz="12" w:space="8"/>
        </w:pBdr>
        <w:spacing w:after="160" w:line="276"/>
        <w:ind w:left="360"/>
      </w:pPr>
      <w:r>
        <w:rPr>
          <w:rFonts w:ascii="Calibri" w:cs="Calibri" w:eastAsia="Calibri" w:hAnsi="Calibri"/>
          <w:b/>
          <w:bCs/>
          <w:i/>
          <w:iCs/>
          <w:color w:val="666666"/>
          <w:sz w:val="20"/>
          <w:szCs w:val="20"/>
        </w:rPr>
        <w:t xml:space="preserve">Note pour le rédacteur : </w:t>
      </w:r>
      <w:r>
        <w:rPr>
          <w:rFonts w:ascii="Calibri" w:cs="Calibri" w:eastAsia="Calibri" w:hAnsi="Calibri"/>
          <w:i/>
          <w:iCs/>
          <w:color w:val="666666"/>
          <w:sz w:val="20"/>
          <w:szCs w:val="20"/>
        </w:rPr>
        <w:t xml:space="preserve">L'article 50 vise avant tout les fournisseurs et déployeurs de systèmes qui exposent des contenus au public. Pour la plupart des PME, l'obligation concrète se limite aux chatbots exposés aux clients et aux visuels ou vidéos publiés. La formule de mention est celle du guide de la DINUM et de la charte des communicants de l'État ; une mention sobre et systématique est plus simple à tenir qu'une appréciation au cas par cas.</w:t>
      </w:r>
    </w:p>
    <w:p>
      <w:pPr>
        <w:pStyle w:val="Heading1"/>
        <w:spacing w:after="160" w:before="360"/>
      </w:pPr>
      <w:r>
        <w:t xml:space="preserve">Article 7. Propriété intellectuelle et confidentialité</w:t>
      </w:r>
    </w:p>
    <w:p>
      <w:pPr>
        <w:pStyle w:val="Heading2"/>
        <w:spacing w:after="120" w:before="240"/>
      </w:pPr>
      <w:r>
        <w:t xml:space="preserve">7.1 Contenus entrants</w:t>
      </w:r>
    </w:p>
    <w:p>
      <w:pPr>
        <w:pStyle w:val="ListParagraph"/>
        <w:numPr>
          <w:ilvl w:val="0"/>
          <w:numId w:val="2"/>
        </w:numPr>
        <w:spacing w:after="60" w:line="276"/>
      </w:pPr>
      <w:r>
        <w:rPr>
          <w:rFonts w:ascii="Calibri" w:cs="Calibri" w:eastAsia="Calibri" w:hAnsi="Calibri"/>
          <w:sz w:val="22"/>
          <w:szCs w:val="22"/>
        </w:rPr>
        <w:t xml:space="preserve">L'utilisateur ne soumet pas à un outil d'IA des œuvres, documents ou données dont l'entreprise ne détient pas les droits ou l'autorisation d'usage (documents de tiers sous licence, articles payants, code sous licence restrictive, données de clients hors périmètre contractuel).</w:t>
      </w:r>
    </w:p>
    <w:p>
      <w:pPr>
        <w:pStyle w:val="ListParagraph"/>
        <w:numPr>
          <w:ilvl w:val="0"/>
          <w:numId w:val="2"/>
        </w:numPr>
        <w:spacing w:after="60" w:line="276"/>
      </w:pPr>
      <w:r>
        <w:rPr>
          <w:rFonts w:ascii="Calibri" w:cs="Calibri" w:eastAsia="Calibri" w:hAnsi="Calibri"/>
          <w:sz w:val="22"/>
          <w:szCs w:val="22"/>
        </w:rPr>
        <w:t xml:space="preserve">Les contenus soumis à un outil toléré peuvent être conservés et réutilisés par l'éditeur. Cette seule raison suffit à interdire d'y saisir des données oranges ou rouges.</w:t>
      </w:r>
    </w:p>
    <w:p>
      <w:pPr>
        <w:pStyle w:val="ListParagraph"/>
        <w:numPr>
          <w:ilvl w:val="0"/>
          <w:numId w:val="2"/>
        </w:numPr>
        <w:spacing w:after="60" w:line="276"/>
      </w:pPr>
      <w:r>
        <w:rPr>
          <w:rFonts w:ascii="Calibri" w:cs="Calibri" w:eastAsia="Calibri" w:hAnsi="Calibri"/>
          <w:sz w:val="22"/>
          <w:szCs w:val="22"/>
        </w:rPr>
        <w:t xml:space="preserve">Le référent IA vérifie les conditions d'utilisation de chaque outil approuvé, notamment sur la réutilisation des données pour l'entraînement et la propriété des contenus générés, et les résume dans le registre (annexe A).</w:t>
      </w:r>
    </w:p>
    <w:p>
      <w:pPr>
        <w:pStyle w:val="Heading2"/>
        <w:spacing w:after="120" w:before="240"/>
      </w:pPr>
      <w:r>
        <w:t xml:space="preserve">7.2 Contenus sortants</w:t>
      </w:r>
    </w:p>
    <w:p>
      <w:pPr>
        <w:pStyle w:val="ListParagraph"/>
        <w:numPr>
          <w:ilvl w:val="0"/>
          <w:numId w:val="2"/>
        </w:numPr>
        <w:spacing w:after="60" w:line="276"/>
      </w:pPr>
      <w:r>
        <w:rPr>
          <w:rFonts w:ascii="Calibri" w:cs="Calibri" w:eastAsia="Calibri" w:hAnsi="Calibri"/>
          <w:sz w:val="22"/>
          <w:szCs w:val="22"/>
        </w:rPr>
        <w:t xml:space="preserve">Un contenu généré par une IA sans intervention créative humaine significative n'est en principe pas protégé par le droit d'auteur. L'entreprise ne peut pas revendiquer d'exclusivité sur un tel contenu. Pour les livrables à forte valeur (marque, création publicitaire, produit), l'IA est utilisée comme assistance et non comme source unique, et l'apport humain est documenté.</w:t>
      </w:r>
    </w:p>
    <w:p>
      <w:pPr>
        <w:pStyle w:val="ListParagraph"/>
        <w:numPr>
          <w:ilvl w:val="0"/>
          <w:numId w:val="2"/>
        </w:numPr>
        <w:spacing w:after="60" w:line="276"/>
      </w:pPr>
      <w:r>
        <w:rPr>
          <w:rFonts w:ascii="Calibri" w:cs="Calibri" w:eastAsia="Calibri" w:hAnsi="Calibri"/>
          <w:sz w:val="22"/>
          <w:szCs w:val="22"/>
        </w:rPr>
        <w:t xml:space="preserve">Nul ne s'attribue la paternité d'un contenu entièrement généré par une IA.</w:t>
      </w:r>
    </w:p>
    <w:p>
      <w:pPr>
        <w:pStyle w:val="ListParagraph"/>
        <w:numPr>
          <w:ilvl w:val="0"/>
          <w:numId w:val="2"/>
        </w:numPr>
        <w:spacing w:after="60" w:line="276"/>
      </w:pPr>
      <w:r>
        <w:rPr>
          <w:rFonts w:ascii="Calibri" w:cs="Calibri" w:eastAsia="Calibri" w:hAnsi="Calibri"/>
          <w:sz w:val="22"/>
          <w:szCs w:val="22"/>
        </w:rPr>
        <w:t xml:space="preserve">Un contenu généré peut reproduire, en tout ou partie, une œuvre existante. Les visuels, textes et codes destinés à un usage externe font l'objet d'une vérification d'originalité proportionnée à l'enjeu (recherche d'image inversée, vérification de licence du code, relecture).</w:t>
      </w:r>
    </w:p>
    <w:p>
      <w:pPr>
        <w:pStyle w:val="Heading2"/>
        <w:spacing w:after="120" w:before="240"/>
      </w:pPr>
      <w:r>
        <w:t xml:space="preserve">7.3 Secret des affaires et confidentialité</w:t>
      </w:r>
    </w:p>
    <w:p>
      <w:pPr>
        <w:spacing w:after="120" w:line="276"/>
      </w:pPr>
      <w:r>
        <w:rPr>
          <w:rFonts w:ascii="Calibri" w:cs="Calibri" w:eastAsia="Calibri" w:hAnsi="Calibri"/>
          <w:sz w:val="22"/>
          <w:szCs w:val="22"/>
        </w:rPr>
        <w:t xml:space="preserve">Les informations couvertes par le secret des affaires, une clause de confidentialité ou le secret professionnel ne sont saisies dans aucun outil qui n'a pas été approuvé pour la catégorie rouge. Cette règle s'applique aussi aux fonctions d'IA intégrées à des outils déjà utilisés (résumé automatique de réunion, assistant de messagerie), qui peuvent transmettre les données à un tiers. Les conversations avec un outil d'IA et leurs résultats sont eux-mêmes traités comme des documents internes.</w:t>
      </w:r>
    </w:p>
    <w:p>
      <w:pPr>
        <w:pBdr>
          <w:left w:val="single" w:color="B8C4D6" w:sz="12" w:space="8"/>
        </w:pBdr>
        <w:spacing w:after="160" w:line="276"/>
        <w:ind w:left="360"/>
      </w:pPr>
      <w:r>
        <w:rPr>
          <w:rFonts w:ascii="Calibri" w:cs="Calibri" w:eastAsia="Calibri" w:hAnsi="Calibri"/>
          <w:b/>
          <w:bCs/>
          <w:i/>
          <w:iCs/>
          <w:color w:val="666666"/>
          <w:sz w:val="20"/>
          <w:szCs w:val="20"/>
        </w:rPr>
        <w:t xml:space="preserve">Note pour le rédacteur : </w:t>
      </w:r>
      <w:r>
        <w:rPr>
          <w:rFonts w:ascii="Calibri" w:cs="Calibri" w:eastAsia="Calibri" w:hAnsi="Calibri"/>
          <w:i/>
          <w:iCs/>
          <w:color w:val="666666"/>
          <w:sz w:val="20"/>
          <w:szCs w:val="20"/>
        </w:rPr>
        <w:t xml:space="preserve">Les fonctions IA intégrées à des outils déjà déployés sont le point aveugle le plus fréquent : elles sont activées par l'éditeur sans décision de l'entreprise. Listez-les dans l'annexe A avec leur statut.</w:t>
      </w:r>
    </w:p>
    <w:p>
      <w:pPr>
        <w:pStyle w:val="Heading1"/>
        <w:spacing w:after="160" w:before="360"/>
      </w:pPr>
      <w:r>
        <w:t xml:space="preserve">Article 8. Agents IA, extensions et automatisations</w:t>
      </w:r>
    </w:p>
    <w:p>
      <w:pPr>
        <w:spacing w:after="120" w:line="276"/>
      </w:pPr>
      <w:r>
        <w:rPr>
          <w:rFonts w:ascii="Calibri" w:cs="Calibri" w:eastAsia="Calibri" w:hAnsi="Calibri"/>
          <w:sz w:val="22"/>
          <w:szCs w:val="22"/>
        </w:rPr>
        <w:t xml:space="preserve">On appelle agent IA un outil qui ne se contente pas de répondre mais agit : lit et envoie des emails, navigue sur des sites, modifie ou supprime des fichiers, exécute des commandes, passe des commandes ou enchaîne des tâches entre plusieurs applications. Ces outils cumulent les risques des assistants et ceux d'un utilisateur disposant de vos droits, sans votre jugement. En avril 2026, l'ANSSI a recommandé de ne pas les déployer sur les postes de travail de production sans encadrement strict.</w:t>
      </w:r>
    </w:p>
    <w:p>
      <w:pPr>
        <w:pStyle w:val="Heading2"/>
        <w:spacing w:after="120" w:before="240"/>
      </w:pPr>
      <w:r>
        <w:t xml:space="preserve">8.1 Règles</w:t>
      </w:r>
    </w:p>
    <w:p>
      <w:pPr>
        <w:pStyle w:val="ListParagraph"/>
        <w:numPr>
          <w:ilvl w:val="0"/>
          <w:numId w:val="2"/>
        </w:numPr>
        <w:spacing w:after="60" w:line="276"/>
      </w:pPr>
      <w:r>
        <w:rPr>
          <w:rFonts w:ascii="Calibri" w:cs="Calibri" w:eastAsia="Calibri" w:hAnsi="Calibri"/>
          <w:sz w:val="22"/>
          <w:szCs w:val="22"/>
        </w:rPr>
        <w:t xml:space="preserve">Aucun agent IA, extension de navigateur IA ou automatisation connectée à des données de l'entreprise n'est installé ou activé sans validation du </w:t>
      </w:r>
      <w:r>
        <w:rPr>
          <w:rFonts w:ascii="Calibri" w:cs="Calibri" w:eastAsia="Calibri" w:hAnsi="Calibri"/>
          <w:sz w:val="22"/>
          <w:szCs w:val="22"/>
          <w:shd w:fill="FFF2A8" w:color="auto" w:val="clear"/>
        </w:rPr>
        <w:t xml:space="preserve">[service informatique / RSSI]</w:t>
      </w:r>
      <w:r>
        <w:rPr>
          <w:rFonts w:ascii="Calibri" w:cs="Calibri" w:eastAsia="Calibri" w:hAnsi="Calibri"/>
          <w:sz w:val="22"/>
          <w:szCs w:val="22"/>
        </w:rPr>
        <w:t xml:space="preserve"> et du référent IA, qui documentent les risques acceptés.</w:t>
      </w:r>
    </w:p>
    <w:p>
      <w:pPr>
        <w:pStyle w:val="ListParagraph"/>
        <w:numPr>
          <w:ilvl w:val="0"/>
          <w:numId w:val="2"/>
        </w:numPr>
        <w:spacing w:after="60" w:line="276"/>
      </w:pPr>
      <w:r>
        <w:rPr>
          <w:rFonts w:ascii="Calibri" w:cs="Calibri" w:eastAsia="Calibri" w:hAnsi="Calibri"/>
          <w:sz w:val="22"/>
          <w:szCs w:val="22"/>
        </w:rPr>
        <w:t xml:space="preserve">Les droits accordés à un agent sont limités au strict besoin de la tâche (lecture seule quand c'est possible, périmètre de dossiers ou de boîtes limité, pas d'accès aux données rouges). Les droits accordés à l'ensemble des outils IA (messagerie, espaces documentaires, dépôts de code, visioconférence) sont revus </w:t>
      </w:r>
      <w:r>
        <w:rPr>
          <w:rFonts w:ascii="Calibri" w:cs="Calibri" w:eastAsia="Calibri" w:hAnsi="Calibri"/>
          <w:sz w:val="22"/>
          <w:szCs w:val="22"/>
          <w:shd w:fill="FFF2A8" w:color="auto" w:val="clear"/>
        </w:rPr>
        <w:t xml:space="preserve">[chaque mois]</w:t>
      </w:r>
      <w:r>
        <w:rPr>
          <w:rFonts w:ascii="Calibri" w:cs="Calibri" w:eastAsia="Calibri" w:hAnsi="Calibri"/>
          <w:sz w:val="22"/>
          <w:szCs w:val="22"/>
        </w:rPr>
        <w:t xml:space="preserve">.</w:t>
      </w:r>
    </w:p>
    <w:p>
      <w:pPr>
        <w:pStyle w:val="ListParagraph"/>
        <w:numPr>
          <w:ilvl w:val="0"/>
          <w:numId w:val="2"/>
        </w:numPr>
        <w:spacing w:after="60" w:line="276"/>
      </w:pPr>
      <w:r>
        <w:rPr>
          <w:rFonts w:ascii="Calibri" w:cs="Calibri" w:eastAsia="Calibri" w:hAnsi="Calibri"/>
          <w:sz w:val="22"/>
          <w:szCs w:val="22"/>
        </w:rPr>
        <w:t xml:space="preserve">Ce que l'IA ne fait jamais seule : envoyer un message à un tiers, supprimer ou écraser un document, effectuer un paiement ou une commande, modifier une configuration, créer un compte ou des droits, prendre un engagement au nom de l'entreprise. Ces actions exigent une validation humaine explicite, action par action, et non une approbation globale.</w:t>
      </w:r>
    </w:p>
    <w:p>
      <w:pPr>
        <w:pStyle w:val="ListParagraph"/>
        <w:numPr>
          <w:ilvl w:val="0"/>
          <w:numId w:val="2"/>
        </w:numPr>
        <w:spacing w:after="60" w:line="276"/>
      </w:pPr>
      <w:r>
        <w:rPr>
          <w:rFonts w:ascii="Calibri" w:cs="Calibri" w:eastAsia="Calibri" w:hAnsi="Calibri"/>
          <w:sz w:val="22"/>
          <w:szCs w:val="22"/>
        </w:rPr>
        <w:t xml:space="preserve">Les agents ne sont testés que dans un environnement isolé, sans données rouges, avant tout usage réel.</w:t>
      </w:r>
    </w:p>
    <w:p>
      <w:pPr>
        <w:pStyle w:val="ListParagraph"/>
        <w:numPr>
          <w:ilvl w:val="0"/>
          <w:numId w:val="2"/>
        </w:numPr>
        <w:spacing w:after="60" w:line="276"/>
      </w:pPr>
      <w:r>
        <w:rPr>
          <w:rFonts w:ascii="Calibri" w:cs="Calibri" w:eastAsia="Calibri" w:hAnsi="Calibri"/>
          <w:sz w:val="22"/>
          <w:szCs w:val="22"/>
        </w:rPr>
        <w:t xml:space="preserve">Un agent est activé de manière explicite par l'utilisateur ; il ne surveille pas en continu une messagerie ou un canal sans que cela ait été décidé et documenté. L'utilisateur garde à tout moment le moyen de l'arrêter.</w:t>
      </w:r>
    </w:p>
    <w:p>
      <w:pPr>
        <w:pStyle w:val="ListParagraph"/>
        <w:numPr>
          <w:ilvl w:val="0"/>
          <w:numId w:val="2"/>
        </w:numPr>
        <w:spacing w:after="60" w:line="276"/>
      </w:pPr>
      <w:r>
        <w:rPr>
          <w:rFonts w:ascii="Calibri" w:cs="Calibri" w:eastAsia="Calibri" w:hAnsi="Calibri"/>
          <w:sz w:val="22"/>
          <w:szCs w:val="22"/>
        </w:rPr>
        <w:t xml:space="preserve">Chaque utilisateur d'agent est sensibilisé à l'injection de prompt : des instructions cachées dans un email, un document, une page web ou un fichier peuvent détourner un agent. Un agent qui lit des contenus provenant de l'extérieur ne dispose pas de droits d'action sur les systèmes internes.</w:t>
      </w:r>
    </w:p>
    <w:p>
      <w:pPr>
        <w:pStyle w:val="ListParagraph"/>
        <w:numPr>
          <w:ilvl w:val="0"/>
          <w:numId w:val="2"/>
        </w:numPr>
        <w:spacing w:after="60" w:line="276"/>
      </w:pPr>
      <w:r>
        <w:rPr>
          <w:rFonts w:ascii="Calibri" w:cs="Calibri" w:eastAsia="Calibri" w:hAnsi="Calibri"/>
          <w:sz w:val="22"/>
          <w:szCs w:val="22"/>
        </w:rPr>
        <w:t xml:space="preserve">Les actions des agents sont journalisées (tâche demandée, données consultées, actions réalisées, date), et les journaux sont conservés </w:t>
      </w:r>
      <w:r>
        <w:rPr>
          <w:rFonts w:ascii="Calibri" w:cs="Calibri" w:eastAsia="Calibri" w:hAnsi="Calibri"/>
          <w:sz w:val="22"/>
          <w:szCs w:val="22"/>
          <w:shd w:fill="FFF2A8" w:color="auto" w:val="clear"/>
        </w:rPr>
        <w:t xml:space="preserve">[six mois]</w:t>
      </w:r>
      <w:r>
        <w:rPr>
          <w:rFonts w:ascii="Calibri" w:cs="Calibri" w:eastAsia="Calibri" w:hAnsi="Calibri"/>
          <w:sz w:val="22"/>
          <w:szCs w:val="22"/>
        </w:rPr>
        <w:t xml:space="preserve">.</w:t>
      </w:r>
    </w:p>
    <w:p>
      <w:pPr>
        <w:pBdr>
          <w:left w:val="single" w:color="B8C4D6" w:sz="12" w:space="8"/>
        </w:pBdr>
        <w:spacing w:after="160" w:line="276"/>
        <w:ind w:left="360"/>
      </w:pPr>
      <w:r>
        <w:rPr>
          <w:rFonts w:ascii="Calibri" w:cs="Calibri" w:eastAsia="Calibri" w:hAnsi="Calibri"/>
          <w:b/>
          <w:bCs/>
          <w:i/>
          <w:iCs/>
          <w:color w:val="666666"/>
          <w:sz w:val="20"/>
          <w:szCs w:val="20"/>
        </w:rPr>
        <w:t xml:space="preserve">Note pour le rédacteur : </w:t>
      </w:r>
      <w:r>
        <w:rPr>
          <w:rFonts w:ascii="Calibri" w:cs="Calibri" w:eastAsia="Calibri" w:hAnsi="Calibri"/>
          <w:i/>
          <w:iCs/>
          <w:color w:val="666666"/>
          <w:sz w:val="20"/>
          <w:szCs w:val="20"/>
        </w:rPr>
        <w:t xml:space="preserve">Cet article s'appuie sur l'alerte CERTFR-2026-ACT-016 de l'ANSSI (avril 2026), sur les recommandations R9, R27 et R35 de son guide sur l'IA générative et sur la note CNIL / Conseil de l'IA et du numérique de juillet 2026 sur l'IA agentique (permissions granulaires, validation humaine non formelle, journalisation, bouton d'arrêt). Si aucun agent n'est utilisé dans l'entreprise, conservez au moins les deux premières règles : elles évitent qu'un collaborateur en installe un de sa propre initiative.</w:t>
      </w:r>
    </w:p>
    <w:p>
      <w:pPr>
        <w:pStyle w:val="Heading1"/>
        <w:spacing w:after="160" w:before="360"/>
      </w:pPr>
      <w:r>
        <w:t xml:space="preserve">Article 9. Réunions enregistrées et transcrites</w:t>
      </w:r>
    </w:p>
    <w:p>
      <w:pPr>
        <w:pStyle w:val="ListParagraph"/>
        <w:numPr>
          <w:ilvl w:val="0"/>
          <w:numId w:val="2"/>
        </w:numPr>
        <w:spacing w:after="60" w:line="276"/>
      </w:pPr>
      <w:r>
        <w:rPr>
          <w:rFonts w:ascii="Calibri" w:cs="Calibri" w:eastAsia="Calibri" w:hAnsi="Calibri"/>
          <w:sz w:val="22"/>
          <w:szCs w:val="22"/>
        </w:rPr>
        <w:t xml:space="preserve">L'enregistrement ou la transcription d'une réunion par un outil d'IA (fonction intégrée à la visioconférence, assistant de prise de notes, application sur téléphone) n'est réalisé qu'avec un outil approuvé et après information de tous les participants au début de la réunion. Un participant peut s'y opposer ; l'enregistrement n'a alors pas lieu.</w:t>
      </w:r>
    </w:p>
    <w:p>
      <w:pPr>
        <w:pStyle w:val="ListParagraph"/>
        <w:numPr>
          <w:ilvl w:val="0"/>
          <w:numId w:val="2"/>
        </w:numPr>
        <w:spacing w:after="60" w:line="276"/>
      </w:pPr>
      <w:r>
        <w:rPr>
          <w:rFonts w:ascii="Calibri" w:cs="Calibri" w:eastAsia="Calibri" w:hAnsi="Calibri"/>
          <w:sz w:val="22"/>
          <w:szCs w:val="22"/>
        </w:rPr>
        <w:t xml:space="preserve">Les assistants de prise de notes personnels, y compris ceux qui rejoignent les réunions sous la forme d'un participant automatique, ne sont pas utilisés sans validation préalable.</w:t>
      </w:r>
    </w:p>
    <w:p>
      <w:pPr>
        <w:pStyle w:val="ListParagraph"/>
        <w:numPr>
          <w:ilvl w:val="0"/>
          <w:numId w:val="2"/>
        </w:numPr>
        <w:spacing w:after="60" w:line="276"/>
      </w:pPr>
      <w:r>
        <w:rPr>
          <w:rFonts w:ascii="Calibri" w:cs="Calibri" w:eastAsia="Calibri" w:hAnsi="Calibri"/>
          <w:sz w:val="22"/>
          <w:szCs w:val="22"/>
        </w:rPr>
        <w:t xml:space="preserve">Les entretiens individuels (recrutement, évaluation, entretien disciplinaire, entretien avec la médecine du travail ou les représentants du personnel) et les réunions traitant de données rouges ne sont pas transcrits par IA.</w:t>
      </w:r>
    </w:p>
    <w:p>
      <w:pPr>
        <w:pStyle w:val="ListParagraph"/>
        <w:numPr>
          <w:ilvl w:val="0"/>
          <w:numId w:val="2"/>
        </w:numPr>
        <w:spacing w:after="60" w:line="276"/>
      </w:pPr>
      <w:r>
        <w:rPr>
          <w:rFonts w:ascii="Calibri" w:cs="Calibri" w:eastAsia="Calibri" w:hAnsi="Calibri"/>
          <w:sz w:val="22"/>
          <w:szCs w:val="22"/>
        </w:rPr>
        <w:t xml:space="preserve">Une transcription est une donnée orange au minimum, rouge dès qu'elle contient des données personnelles au-delà des coordonnées professionnelles ou des informations confidentielles. Elle est relue avant diffusion, conservée </w:t>
      </w:r>
      <w:r>
        <w:rPr>
          <w:rFonts w:ascii="Calibri" w:cs="Calibri" w:eastAsia="Calibri" w:hAnsi="Calibri"/>
          <w:sz w:val="22"/>
          <w:szCs w:val="22"/>
          <w:shd w:fill="FFF2A8" w:color="auto" w:val="clear"/>
        </w:rPr>
        <w:t xml:space="preserve">[30 jours]</w:t>
      </w:r>
      <w:r>
        <w:rPr>
          <w:rFonts w:ascii="Calibri" w:cs="Calibri" w:eastAsia="Calibri" w:hAnsi="Calibri"/>
          <w:sz w:val="22"/>
          <w:szCs w:val="22"/>
        </w:rPr>
        <w:t xml:space="preserve"> au maximum sauf besoin documenté, puis supprimée.</w:t>
      </w:r>
    </w:p>
    <w:p>
      <w:pPr>
        <w:pStyle w:val="ListParagraph"/>
        <w:numPr>
          <w:ilvl w:val="0"/>
          <w:numId w:val="2"/>
        </w:numPr>
        <w:spacing w:after="60" w:line="276"/>
      </w:pPr>
      <w:r>
        <w:rPr>
          <w:rFonts w:ascii="Calibri" w:cs="Calibri" w:eastAsia="Calibri" w:hAnsi="Calibri"/>
          <w:sz w:val="22"/>
          <w:szCs w:val="22"/>
        </w:rPr>
        <w:t xml:space="preserve">Un compte rendu généré par IA est signalé comme tel à ses destinataires et validé par l'organisateur de la réunion avant envoi.</w:t>
      </w:r>
    </w:p>
    <w:p>
      <w:pPr>
        <w:pBdr>
          <w:left w:val="single" w:color="B8C4D6" w:sz="12" w:space="8"/>
        </w:pBdr>
        <w:spacing w:after="160" w:line="276"/>
        <w:ind w:left="360"/>
      </w:pPr>
      <w:r>
        <w:rPr>
          <w:rFonts w:ascii="Calibri" w:cs="Calibri" w:eastAsia="Calibri" w:hAnsi="Calibri"/>
          <w:b/>
          <w:bCs/>
          <w:i/>
          <w:iCs/>
          <w:color w:val="666666"/>
          <w:sz w:val="20"/>
          <w:szCs w:val="20"/>
        </w:rPr>
        <w:t xml:space="preserve">Note pour le rédacteur : </w:t>
      </w:r>
      <w:r>
        <w:rPr>
          <w:rFonts w:ascii="Calibri" w:cs="Calibri" w:eastAsia="Calibri" w:hAnsi="Calibri"/>
          <w:i/>
          <w:iCs/>
          <w:color w:val="666666"/>
          <w:sz w:val="20"/>
          <w:szCs w:val="20"/>
        </w:rPr>
        <w:t xml:space="preserve">La transcription de réunion est aujourd'hui la fonction IA la plus répandue dans les entreprises et l'une des moins encadrées. Elle engage la responsabilité de l'entreprise vis-à-vis des participants (information et opposition au titre du RGPD) et vis-à-vis des clients présents. L'ANSSI recommande de revoir régulièrement les droits accordés aux outils IA sur la visioconférence (R35).</w:t>
      </w:r>
    </w:p>
    <w:p>
      <w:pPr>
        <w:pStyle w:val="Heading1"/>
        <w:spacing w:after="160" w:before="360"/>
      </w:pPr>
      <w:r>
        <w:t xml:space="preserve">Article 10. Formation et maîtrise de l'IA</w:t>
      </w:r>
    </w:p>
    <w:p>
      <w:pPr>
        <w:spacing w:after="120" w:line="276"/>
      </w:pPr>
      <w:r>
        <w:rPr>
          <w:rFonts w:ascii="Calibri" w:cs="Calibri" w:eastAsia="Calibri" w:hAnsi="Calibri"/>
          <w:sz w:val="22"/>
          <w:szCs w:val="22"/>
        </w:rPr>
        <w:t xml:space="preserve">L'article 4 de l'AI Act demande aux entreprises qui utilisent des systèmes d'IA de favoriser un niveau suffisant de maîtrise de l'IA chez leur personnel, en tenant compte de leurs connaissances, de leur rôle et du contexte d'utilisation. Depuis le règlement Omnibus de juillet 2026, il s'agit d'une obligation de moyens, sans sanction spécifique, mais qui pèse dans l'appréciation de la responsabilité de l'entreprise en cas d'incident. La CNIL recommande que la formation précède l'usage.</w:t>
      </w:r>
    </w:p>
    <w:p>
      <w:pPr>
        <w:spacing w:after="120" w:line="276"/>
      </w:pPr>
      <w:r>
        <w:rPr>
          <w:rFonts w:ascii="Calibri" w:cs="Calibri" w:eastAsia="Calibri" w:hAnsi="Calibri"/>
          <w:sz w:val="22"/>
          <w:szCs w:val="22"/>
          <w:shd w:fill="FFF2A8" w:color="auto" w:val="clear"/>
        </w:rPr>
        <w:t xml:space="preserve">[Nom de l'entreprise]</w:t>
      </w:r>
      <w:r>
        <w:rPr>
          <w:rFonts w:ascii="Calibri" w:cs="Calibri" w:eastAsia="Calibri" w:hAnsi="Calibri"/>
          <w:sz w:val="22"/>
          <w:szCs w:val="22"/>
        </w:rPr>
        <w:t xml:space="preserve"> s'engage à :</w:t>
      </w:r>
    </w:p>
    <w:p>
      <w:pPr>
        <w:pStyle w:val="ListParagraph"/>
        <w:numPr>
          <w:ilvl w:val="0"/>
          <w:numId w:val="2"/>
        </w:numPr>
        <w:spacing w:after="60" w:line="276"/>
      </w:pPr>
      <w:r>
        <w:rPr>
          <w:rFonts w:ascii="Calibri" w:cs="Calibri" w:eastAsia="Calibri" w:hAnsi="Calibri"/>
          <w:sz w:val="22"/>
          <w:szCs w:val="22"/>
        </w:rPr>
        <w:t xml:space="preserve">proposer à chaque collaborateur concerné une sensibilisation aux usages, aux limites et aux risques de l'IA générative (dont la présente charte) dans un délai de </w:t>
      </w:r>
      <w:r>
        <w:rPr>
          <w:rFonts w:ascii="Calibri" w:cs="Calibri" w:eastAsia="Calibri" w:hAnsi="Calibri"/>
          <w:sz w:val="22"/>
          <w:szCs w:val="22"/>
          <w:shd w:fill="FFF2A8" w:color="auto" w:val="clear"/>
        </w:rPr>
        <w:t xml:space="preserve">[3 mois]</w:t>
      </w:r>
      <w:r>
        <w:rPr>
          <w:rFonts w:ascii="Calibri" w:cs="Calibri" w:eastAsia="Calibri" w:hAnsi="Calibri"/>
          <w:sz w:val="22"/>
          <w:szCs w:val="22"/>
        </w:rPr>
        <w:t xml:space="preserve"> suivant son arrivée ou l'adoption de la charte ; </w:t>
      </w:r>
      <w:r>
        <w:rPr>
          <w:rFonts w:ascii="Calibri" w:cs="Calibri" w:eastAsia="Calibri" w:hAnsi="Calibri"/>
          <w:sz w:val="22"/>
          <w:szCs w:val="22"/>
          <w:shd w:fill="FFF2A8" w:color="auto" w:val="clear"/>
        </w:rPr>
        <w:t xml:space="preserve">[l'accès aux outils approuvés est conditionné au suivi de cette sensibilisation]</w:t>
      </w:r>
      <w:r>
        <w:rPr>
          <w:rFonts w:ascii="Calibri" w:cs="Calibri" w:eastAsia="Calibri" w:hAnsi="Calibri"/>
          <w:sz w:val="22"/>
          <w:szCs w:val="22"/>
        </w:rPr>
        <w:t xml:space="preserve"> ;</w:t>
      </w:r>
    </w:p>
    <w:p>
      <w:pPr>
        <w:pStyle w:val="ListParagraph"/>
        <w:numPr>
          <w:ilvl w:val="0"/>
          <w:numId w:val="2"/>
        </w:numPr>
        <w:spacing w:after="60" w:line="276"/>
      </w:pPr>
      <w:r>
        <w:rPr>
          <w:rFonts w:ascii="Calibri" w:cs="Calibri" w:eastAsia="Calibri" w:hAnsi="Calibri"/>
          <w:sz w:val="22"/>
          <w:szCs w:val="22"/>
        </w:rPr>
        <w:t xml:space="preserve">proposer une formation approfondie aux collaborateurs dont le métier fait un usage intensif de l'IA, qui manipulent des données sensibles, qui utilisent des agents ou qui interviennent dans des décisions concernant des personnes ;</w:t>
      </w:r>
    </w:p>
    <w:p>
      <w:pPr>
        <w:pStyle w:val="ListParagraph"/>
        <w:numPr>
          <w:ilvl w:val="0"/>
          <w:numId w:val="2"/>
        </w:numPr>
        <w:spacing w:after="60" w:line="276"/>
      </w:pPr>
      <w:r>
        <w:rPr>
          <w:rFonts w:ascii="Calibri" w:cs="Calibri" w:eastAsia="Calibri" w:hAnsi="Calibri"/>
          <w:sz w:val="22"/>
          <w:szCs w:val="22"/>
        </w:rPr>
        <w:t xml:space="preserve">mettre à disposition un guide de bonnes pratiques et des exemples de demandes adaptés aux métiers de l'entreprise ;</w:t>
      </w:r>
    </w:p>
    <w:p>
      <w:pPr>
        <w:pStyle w:val="ListParagraph"/>
        <w:numPr>
          <w:ilvl w:val="0"/>
          <w:numId w:val="2"/>
        </w:numPr>
        <w:spacing w:after="60" w:line="276"/>
      </w:pPr>
      <w:r>
        <w:rPr>
          <w:rFonts w:ascii="Calibri" w:cs="Calibri" w:eastAsia="Calibri" w:hAnsi="Calibri"/>
          <w:sz w:val="22"/>
          <w:szCs w:val="22"/>
        </w:rPr>
        <w:t xml:space="preserve">tenir un registre des actions de sensibilisation et de formation réalisées, avec les preuves (feuilles d'émargement, supports, attestations) (annexe C).</w:t>
      </w:r>
    </w:p>
    <w:p>
      <w:pPr>
        <w:spacing w:after="120" w:line="276"/>
      </w:pPr>
      <w:r>
        <w:rPr>
          <w:rFonts w:ascii="Calibri" w:cs="Calibri" w:eastAsia="Calibri" w:hAnsi="Calibri"/>
          <w:sz w:val="22"/>
          <w:szCs w:val="22"/>
        </w:rPr>
        <w:t xml:space="preserve">Chaque collaborateur s'engage de son côté à suivre les actions de sensibilisation proposées et à se tenir informé des évolutions du registre des outils.</w:t>
      </w:r>
    </w:p>
    <w:p>
      <w:pPr>
        <w:pBdr>
          <w:left w:val="single" w:color="B8C4D6" w:sz="12" w:space="8"/>
        </w:pBdr>
        <w:spacing w:after="160" w:line="276"/>
        <w:ind w:left="360"/>
      </w:pPr>
      <w:r>
        <w:rPr>
          <w:rFonts w:ascii="Calibri" w:cs="Calibri" w:eastAsia="Calibri" w:hAnsi="Calibri"/>
          <w:b/>
          <w:bCs/>
          <w:i/>
          <w:iCs/>
          <w:color w:val="666666"/>
          <w:sz w:val="20"/>
          <w:szCs w:val="20"/>
        </w:rPr>
        <w:t xml:space="preserve">Note pour le rédacteur : </w:t>
      </w:r>
      <w:r>
        <w:rPr>
          <w:rFonts w:ascii="Calibri" w:cs="Calibri" w:eastAsia="Calibri" w:hAnsi="Calibri"/>
          <w:i/>
          <w:iCs/>
          <w:color w:val="666666"/>
          <w:sz w:val="20"/>
          <w:szCs w:val="20"/>
        </w:rPr>
        <w:t xml:space="preserve">La preuve compte : conservez les feuilles d'émargement, les supports et les dates. En cas de contrôle ou d'incident, c'est ce qui démontre que l'entreprise a rempli son obligation de moyens. L'option entre crochets (accès conditionné à la formation) est pratiquée dans l'enseignement supérieur ; elle est efficace mais suppose de pouvoir former vite. NextStart.AI propose des formations conçues pour cet article ; voir www.nextstart.ai.</w:t>
      </w:r>
    </w:p>
    <w:p>
      <w:pPr>
        <w:pStyle w:val="Heading1"/>
        <w:spacing w:after="160" w:before="360"/>
      </w:pPr>
      <w:r>
        <w:t xml:space="preserve">Article 11. Signalement des incidents</w:t>
      </w:r>
    </w:p>
    <w:p>
      <w:pPr>
        <w:pStyle w:val="Heading2"/>
        <w:spacing w:after="120" w:before="240"/>
      </w:pPr>
      <w:r>
        <w:t xml:space="preserve">11.1 Ce qui doit être signalé</w:t>
      </w:r>
    </w:p>
    <w:p>
      <w:pPr>
        <w:pStyle w:val="ListParagraph"/>
        <w:numPr>
          <w:ilvl w:val="0"/>
          <w:numId w:val="2"/>
        </w:numPr>
        <w:spacing w:after="60" w:line="276"/>
      </w:pPr>
      <w:r>
        <w:rPr>
          <w:rFonts w:ascii="Calibri" w:cs="Calibri" w:eastAsia="Calibri" w:hAnsi="Calibri"/>
          <w:sz w:val="22"/>
          <w:szCs w:val="22"/>
        </w:rPr>
        <w:t xml:space="preserve">La saisie, même accidentelle, de données oranges ou rouges dans un outil toléré ou interdit.</w:t>
      </w:r>
    </w:p>
    <w:p>
      <w:pPr>
        <w:pStyle w:val="ListParagraph"/>
        <w:numPr>
          <w:ilvl w:val="0"/>
          <w:numId w:val="2"/>
        </w:numPr>
        <w:spacing w:after="60" w:line="276"/>
      </w:pPr>
      <w:r>
        <w:rPr>
          <w:rFonts w:ascii="Calibri" w:cs="Calibri" w:eastAsia="Calibri" w:hAnsi="Calibri"/>
          <w:sz w:val="22"/>
          <w:szCs w:val="22"/>
        </w:rPr>
        <w:t xml:space="preserve">La diffusion, en interne ou à l'extérieur, d'un contenu généré contenant une erreur significative, un contenu inapproprié ou une atteinte aux droits d'un tiers.</w:t>
      </w:r>
    </w:p>
    <w:p>
      <w:pPr>
        <w:pStyle w:val="ListParagraph"/>
        <w:numPr>
          <w:ilvl w:val="0"/>
          <w:numId w:val="2"/>
        </w:numPr>
        <w:spacing w:after="60" w:line="276"/>
      </w:pPr>
      <w:r>
        <w:rPr>
          <w:rFonts w:ascii="Calibri" w:cs="Calibri" w:eastAsia="Calibri" w:hAnsi="Calibri"/>
          <w:sz w:val="22"/>
          <w:szCs w:val="22"/>
        </w:rPr>
        <w:t xml:space="preserve">Une action non voulue réalisée par un agent (message envoyé, fichier supprimé, commande passée), ou le soupçon qu'un agent a été détourné par des instructions cachées.</w:t>
      </w:r>
    </w:p>
    <w:p>
      <w:pPr>
        <w:pStyle w:val="ListParagraph"/>
        <w:numPr>
          <w:ilvl w:val="0"/>
          <w:numId w:val="2"/>
        </w:numPr>
        <w:spacing w:after="60" w:line="276"/>
      </w:pPr>
      <w:r>
        <w:rPr>
          <w:rFonts w:ascii="Calibri" w:cs="Calibri" w:eastAsia="Calibri" w:hAnsi="Calibri"/>
          <w:sz w:val="22"/>
          <w:szCs w:val="22"/>
        </w:rPr>
        <w:t xml:space="preserve">La compromission ou le soupçon de compromission d'un compte d'outil IA.</w:t>
      </w:r>
    </w:p>
    <w:p>
      <w:pPr>
        <w:pStyle w:val="ListParagraph"/>
        <w:numPr>
          <w:ilvl w:val="0"/>
          <w:numId w:val="2"/>
        </w:numPr>
        <w:spacing w:after="60" w:line="276"/>
      </w:pPr>
      <w:r>
        <w:rPr>
          <w:rFonts w:ascii="Calibri" w:cs="Calibri" w:eastAsia="Calibri" w:hAnsi="Calibri"/>
          <w:sz w:val="22"/>
          <w:szCs w:val="22"/>
        </w:rPr>
        <w:t xml:space="preserve">Un comportement anormal d'un outil approuvé (fuite de données, résultats discriminatoires, accès non autorisé).</w:t>
      </w:r>
    </w:p>
    <w:p>
      <w:pPr>
        <w:pStyle w:val="ListParagraph"/>
        <w:numPr>
          <w:ilvl w:val="0"/>
          <w:numId w:val="2"/>
        </w:numPr>
        <w:spacing w:after="60" w:line="276"/>
      </w:pPr>
      <w:r>
        <w:rPr>
          <w:rFonts w:ascii="Calibri" w:cs="Calibri" w:eastAsia="Calibri" w:hAnsi="Calibri"/>
          <w:sz w:val="22"/>
          <w:szCs w:val="22"/>
        </w:rPr>
        <w:t xml:space="preserve">La découverte d'un usage non conforme à la présente charte, y compris par un prestataire.</w:t>
      </w:r>
    </w:p>
    <w:p>
      <w:pPr>
        <w:pStyle w:val="Heading2"/>
        <w:spacing w:after="120" w:before="240"/>
      </w:pPr>
      <w:r>
        <w:t xml:space="preserve">11.2 Comment signaler</w:t>
      </w:r>
    </w:p>
    <w:p>
      <w:pPr>
        <w:spacing w:after="120" w:line="276"/>
      </w:pPr>
      <w:r>
        <w:rPr>
          <w:rFonts w:ascii="Calibri" w:cs="Calibri" w:eastAsia="Calibri" w:hAnsi="Calibri"/>
          <w:sz w:val="22"/>
          <w:szCs w:val="22"/>
        </w:rPr>
        <w:t xml:space="preserve">Le signalement est adressé dans les </w:t>
      </w:r>
      <w:r>
        <w:rPr>
          <w:rFonts w:ascii="Calibri" w:cs="Calibri" w:eastAsia="Calibri" w:hAnsi="Calibri"/>
          <w:sz w:val="22"/>
          <w:szCs w:val="22"/>
          <w:shd w:fill="FFF2A8" w:color="auto" w:val="clear"/>
        </w:rPr>
        <w:t xml:space="preserve">[24 heures]</w:t>
      </w:r>
      <w:r>
        <w:rPr>
          <w:rFonts w:ascii="Calibri" w:cs="Calibri" w:eastAsia="Calibri" w:hAnsi="Calibri"/>
          <w:sz w:val="22"/>
          <w:szCs w:val="22"/>
        </w:rPr>
        <w:t xml:space="preserve"> au référent IA (</w:t>
      </w:r>
      <w:r>
        <w:rPr>
          <w:rFonts w:ascii="Calibri" w:cs="Calibri" w:eastAsia="Calibri" w:hAnsi="Calibri"/>
          <w:sz w:val="22"/>
          <w:szCs w:val="22"/>
          <w:shd w:fill="FFF2A8" w:color="auto" w:val="clear"/>
        </w:rPr>
        <w:t xml:space="preserve">[nom, adresse email]</w:t>
      </w:r>
      <w:r>
        <w:rPr>
          <w:rFonts w:ascii="Calibri" w:cs="Calibri" w:eastAsia="Calibri" w:hAnsi="Calibri"/>
          <w:sz w:val="22"/>
          <w:szCs w:val="22"/>
        </w:rPr>
        <w:t xml:space="preserve">) et, s'il concerne des données personnelles, au DPO (</w:t>
      </w:r>
      <w:r>
        <w:rPr>
          <w:rFonts w:ascii="Calibri" w:cs="Calibri" w:eastAsia="Calibri" w:hAnsi="Calibri"/>
          <w:sz w:val="22"/>
          <w:szCs w:val="22"/>
          <w:shd w:fill="FFF2A8" w:color="auto" w:val="clear"/>
        </w:rPr>
        <w:t xml:space="preserve">[nom, adresse email]</w:t>
      </w:r>
      <w:r>
        <w:rPr>
          <w:rFonts w:ascii="Calibri" w:cs="Calibri" w:eastAsia="Calibri" w:hAnsi="Calibri"/>
          <w:sz w:val="22"/>
          <w:szCs w:val="22"/>
        </w:rPr>
        <w:t xml:space="preserve">). Il précise l'outil, la nature des données ou du contenu concerné, la date et les personnes informées.</w:t>
      </w:r>
    </w:p>
    <w:p>
      <w:pPr>
        <w:pStyle w:val="Heading2"/>
        <w:spacing w:after="120" w:before="240"/>
      </w:pPr>
      <w:r>
        <w:t xml:space="preserve">11.3 Traitement</w:t>
      </w:r>
    </w:p>
    <w:p>
      <w:pPr>
        <w:spacing w:after="120" w:line="276"/>
      </w:pPr>
      <w:r>
        <w:rPr>
          <w:rFonts w:ascii="Calibri" w:cs="Calibri" w:eastAsia="Calibri" w:hAnsi="Calibri"/>
          <w:sz w:val="22"/>
          <w:szCs w:val="22"/>
        </w:rPr>
        <w:t xml:space="preserve">Un signalement de bonne foi, y compris lorsqu'il porte sur sa propre erreur, ne donne lieu à aucune sanction. L'entreprise privilégie la correction rapide et l'amélioration des règles. Les violations de données personnelles sont traitées selon la procédure RGPD de l'entreprise (notification à la CNIL sous 72 heures lorsqu'elle est requise, article 33 du RGPD). Le même canal sert aux questions : en cas de doute sur un usage, on demande avant d'agir.</w:t>
      </w:r>
    </w:p>
    <w:p>
      <w:pPr>
        <w:pBdr>
          <w:left w:val="single" w:color="B8C4D6" w:sz="12" w:space="8"/>
        </w:pBdr>
        <w:spacing w:after="160" w:line="276"/>
        <w:ind w:left="360"/>
      </w:pPr>
      <w:r>
        <w:rPr>
          <w:rFonts w:ascii="Calibri" w:cs="Calibri" w:eastAsia="Calibri" w:hAnsi="Calibri"/>
          <w:b/>
          <w:bCs/>
          <w:i/>
          <w:iCs/>
          <w:color w:val="666666"/>
          <w:sz w:val="20"/>
          <w:szCs w:val="20"/>
        </w:rPr>
        <w:t xml:space="preserve">Note pour le rédacteur : </w:t>
      </w:r>
      <w:r>
        <w:rPr>
          <w:rFonts w:ascii="Calibri" w:cs="Calibri" w:eastAsia="Calibri" w:hAnsi="Calibri"/>
          <w:i/>
          <w:iCs/>
          <w:color w:val="666666"/>
          <w:sz w:val="20"/>
          <w:szCs w:val="20"/>
        </w:rPr>
        <w:t xml:space="preserve">La clause de non-sanction du signalement de bonne foi est déterminante : sans elle, les erreurs de saisie ne remontent jamais et l'entreprise découvre les fuites trop tard. Elle ne couvre évidemment pas les manquements délibérés (article 13).</w:t>
      </w:r>
    </w:p>
    <w:p>
      <w:pPr>
        <w:pStyle w:val="Heading1"/>
        <w:spacing w:after="160" w:before="360"/>
      </w:pPr>
      <w:r>
        <w:t xml:space="preserve">Article 12. Gouvernance et décisions concernant des personnes</w:t>
      </w:r>
    </w:p>
    <w:p>
      <w:pPr>
        <w:pStyle w:val="Heading2"/>
        <w:spacing w:after="120" w:before="240"/>
      </w:pPr>
      <w:r>
        <w:t xml:space="preserve">12.1 Référent IA</w:t>
      </w:r>
    </w:p>
    <w:p>
      <w:pPr>
        <w:spacing w:after="120" w:line="276"/>
      </w:pPr>
      <w:r>
        <w:rPr>
          <w:rFonts w:ascii="Calibri" w:cs="Calibri" w:eastAsia="Calibri" w:hAnsi="Calibri"/>
          <w:sz w:val="22"/>
          <w:szCs w:val="22"/>
          <w:shd w:fill="FFF2A8" w:color="auto" w:val="clear"/>
        </w:rPr>
        <w:t xml:space="preserve">[Nom, fonction]</w:t>
      </w:r>
      <w:r>
        <w:rPr>
          <w:rFonts w:ascii="Calibri" w:cs="Calibri" w:eastAsia="Calibri" w:hAnsi="Calibri"/>
          <w:sz w:val="22"/>
          <w:szCs w:val="22"/>
        </w:rPr>
        <w:t xml:space="preserve"> est désigné référent IA. Il tient le registre des outils (annexe A), instruit les demandes d'évaluation de nouveaux outils, reçoit les signalements et les questions, coordonne les actions de formation, recense périodiquement les outils réellement utilisés dans l'entreprise et propose les mises à jour de la présente charte. Le DPO est le point de contact pour les questions relatives aux données personnelles et à l'éthique ; le </w:t>
      </w:r>
      <w:r>
        <w:rPr>
          <w:rFonts w:ascii="Calibri" w:cs="Calibri" w:eastAsia="Calibri" w:hAnsi="Calibri"/>
          <w:sz w:val="22"/>
          <w:szCs w:val="22"/>
          <w:shd w:fill="FFF2A8" w:color="auto" w:val="clear"/>
        </w:rPr>
        <w:t xml:space="preserve">[responsable informatique / RSSI]</w:t>
      </w:r>
      <w:r>
        <w:rPr>
          <w:rFonts w:ascii="Calibri" w:cs="Calibri" w:eastAsia="Calibri" w:hAnsi="Calibri"/>
          <w:sz w:val="22"/>
          <w:szCs w:val="22"/>
        </w:rPr>
        <w:t xml:space="preserve"> pour la sécurité et les agents.</w:t>
      </w:r>
    </w:p>
    <w:p>
      <w:pPr>
        <w:pStyle w:val="Heading2"/>
        <w:spacing w:after="120" w:before="240"/>
      </w:pPr>
      <w:r>
        <w:t xml:space="preserve">12.2 Comité IA</w:t>
      </w:r>
    </w:p>
    <w:p>
      <w:pPr>
        <w:spacing w:after="120" w:line="276"/>
      </w:pPr>
      <w:r>
        <w:rPr>
          <w:rFonts w:ascii="Calibri" w:cs="Calibri" w:eastAsia="Calibri" w:hAnsi="Calibri"/>
          <w:sz w:val="22"/>
          <w:szCs w:val="22"/>
        </w:rPr>
        <w:t xml:space="preserve">Un comité réunissant </w:t>
      </w:r>
      <w:r>
        <w:rPr>
          <w:rFonts w:ascii="Calibri" w:cs="Calibri" w:eastAsia="Calibri" w:hAnsi="Calibri"/>
          <w:sz w:val="22"/>
          <w:szCs w:val="22"/>
          <w:shd w:fill="FFF2A8" w:color="auto" w:val="clear"/>
        </w:rPr>
        <w:t xml:space="preserve">[la direction, le référent IA, le DPO, le responsable informatique, un représentant des métiers]</w:t>
      </w:r>
      <w:r>
        <w:rPr>
          <w:rFonts w:ascii="Calibri" w:cs="Calibri" w:eastAsia="Calibri" w:hAnsi="Calibri"/>
          <w:sz w:val="22"/>
          <w:szCs w:val="22"/>
        </w:rPr>
        <w:t xml:space="preserve"> se réunit </w:t>
      </w:r>
      <w:r>
        <w:rPr>
          <w:rFonts w:ascii="Calibri" w:cs="Calibri" w:eastAsia="Calibri" w:hAnsi="Calibri"/>
          <w:sz w:val="22"/>
          <w:szCs w:val="22"/>
          <w:shd w:fill="FFF2A8" w:color="auto" w:val="clear"/>
        </w:rPr>
        <w:t xml:space="preserve">[tous les trimestres]</w:t>
      </w:r>
      <w:r>
        <w:rPr>
          <w:rFonts w:ascii="Calibri" w:cs="Calibri" w:eastAsia="Calibri" w:hAnsi="Calibri"/>
          <w:sz w:val="22"/>
          <w:szCs w:val="22"/>
        </w:rPr>
        <w:t xml:space="preserve"> pour examiner les usages, les incidents, les demandes d'outils, les retours des utilisateurs et l'évolution réglementaire. Les cas d'usage sensibles (données rouges, clients, décisions concernant des personnes) reçoivent son avis avant mise en œuvre.</w:t>
      </w:r>
    </w:p>
    <w:p>
      <w:pPr>
        <w:pStyle w:val="Heading2"/>
        <w:spacing w:after="120" w:before="240"/>
      </w:pPr>
      <w:r>
        <w:t xml:space="preserve">12.3 Registre des usages</w:t>
      </w:r>
    </w:p>
    <w:p>
      <w:pPr>
        <w:spacing w:after="120" w:line="276"/>
      </w:pPr>
      <w:r>
        <w:rPr>
          <w:rFonts w:ascii="Calibri" w:cs="Calibri" w:eastAsia="Calibri" w:hAnsi="Calibri"/>
          <w:sz w:val="22"/>
          <w:szCs w:val="22"/>
        </w:rPr>
        <w:t xml:space="preserve">Les cas d'usage de l'IA présentant un enjeu particulier (traitement de données personnelles, interaction avec des clients, aide à la décision concernant des personnes, agents, intégration dans un produit) sont recensés dans un registre tenu par le référent IA. Ce registre alimente le registre des traitements RGPD, le document unique d'évaluation des risques professionnels lorsque l'IA modifie les conditions de travail, et permet d'identifier les systèmes relevant de l'AI Act (annexe B).</w:t>
      </w:r>
    </w:p>
    <w:p>
      <w:pPr>
        <w:pStyle w:val="Heading2"/>
        <w:spacing w:after="120" w:before="240"/>
      </w:pPr>
      <w:r>
        <w:t xml:space="preserve">12.4 Décisions concernant des personnes</w:t>
      </w:r>
    </w:p>
    <w:p>
      <w:pPr>
        <w:pStyle w:val="ListParagraph"/>
        <w:numPr>
          <w:ilvl w:val="0"/>
          <w:numId w:val="2"/>
        </w:numPr>
        <w:spacing w:after="60" w:line="276"/>
      </w:pPr>
      <w:r>
        <w:rPr>
          <w:rFonts w:ascii="Calibri" w:cs="Calibri" w:eastAsia="Calibri" w:hAnsi="Calibri"/>
          <w:sz w:val="22"/>
          <w:szCs w:val="22"/>
        </w:rPr>
        <w:t xml:space="preserve">Aucune décision de recrutement, d'évaluation, de promotion, de rémunération, de sanction ou de fin de contrat n'est fondée exclusivement sur un traitement automatisé (article 22 du RGPD). L'IA peut préparer des éléments ; la décision et sa motivation sont celles d'une personne, qui les examine réellement et peut s'en écarter.</w:t>
      </w:r>
    </w:p>
    <w:p>
      <w:pPr>
        <w:pStyle w:val="ListParagraph"/>
        <w:numPr>
          <w:ilvl w:val="0"/>
          <w:numId w:val="2"/>
        </w:numPr>
        <w:spacing w:after="60" w:line="276"/>
      </w:pPr>
      <w:r>
        <w:rPr>
          <w:rFonts w:ascii="Calibri" w:cs="Calibri" w:eastAsia="Calibri" w:hAnsi="Calibri"/>
          <w:sz w:val="22"/>
          <w:szCs w:val="22"/>
        </w:rPr>
        <w:t xml:space="preserve">Les outils d'IA ne sont pas utilisés pour reconnaître les émotions des salariés, pour les noter socialement ni pour les surveiller au-delà de ce que la loi autorise (article 5 de l'AI Act, articles L1121-1 et L1222-4 du code du travail).</w:t>
      </w:r>
    </w:p>
    <w:p>
      <w:pPr>
        <w:pStyle w:val="ListParagraph"/>
        <w:numPr>
          <w:ilvl w:val="0"/>
          <w:numId w:val="2"/>
        </w:numPr>
        <w:spacing w:after="60" w:line="276"/>
      </w:pPr>
      <w:r>
        <w:rPr>
          <w:rFonts w:ascii="Calibri" w:cs="Calibri" w:eastAsia="Calibri" w:hAnsi="Calibri"/>
          <w:sz w:val="22"/>
          <w:szCs w:val="22"/>
        </w:rPr>
        <w:t xml:space="preserve">Tout outil d'IA intervenant dans la gestion des ressources humaines est considéré comme potentiellement à haut risque au sens de l'annexe III de l'AI Act (applicable le 2 décembre 2027) : il est identifié dans le registre des usages, fait l'objet d'une information préalable des salariés et du CSE, d'une vérification des biais et d'une supervision humaine formée.</w:t>
      </w:r>
    </w:p>
    <w:p>
      <w:pPr>
        <w:pBdr>
          <w:left w:val="single" w:color="B8C4D6" w:sz="12" w:space="8"/>
        </w:pBdr>
        <w:spacing w:after="160" w:line="276"/>
        <w:ind w:left="360"/>
      </w:pPr>
      <w:r>
        <w:rPr>
          <w:rFonts w:ascii="Calibri" w:cs="Calibri" w:eastAsia="Calibri" w:hAnsi="Calibri"/>
          <w:b/>
          <w:bCs/>
          <w:i/>
          <w:iCs/>
          <w:color w:val="666666"/>
          <w:sz w:val="20"/>
          <w:szCs w:val="20"/>
        </w:rPr>
        <w:t xml:space="preserve">Note pour le rédacteur : </w:t>
      </w:r>
      <w:r>
        <w:rPr>
          <w:rFonts w:ascii="Calibri" w:cs="Calibri" w:eastAsia="Calibri" w:hAnsi="Calibri"/>
          <w:i/>
          <w:iCs/>
          <w:color w:val="666666"/>
          <w:sz w:val="20"/>
          <w:szCs w:val="20"/>
        </w:rPr>
        <w:t xml:space="preserve">Dans une petite structure, le référent IA peut être le dirigeant ou le responsable informatique et le comité se résumer à un point trimestriel de 30 minutes. L'important est que quelqu'un soit nommément responsable et que la charte vive. La section 12.4 anticipe l'échéance haut risque de décembre 2027, mais l'article 22 du RGPD et le code du travail s'appliquent dès aujourd'hui.</w:t>
      </w:r>
    </w:p>
    <w:p>
      <w:pPr>
        <w:pStyle w:val="Heading1"/>
        <w:spacing w:after="160" w:before="360"/>
      </w:pPr>
      <w:r>
        <w:t xml:space="preserve">Article 13. Manquements</w:t>
      </w:r>
    </w:p>
    <w:p>
      <w:pPr>
        <w:spacing w:after="120" w:line="276"/>
      </w:pPr>
      <w:r>
        <w:rPr>
          <w:rFonts w:ascii="Calibri" w:cs="Calibri" w:eastAsia="Calibri" w:hAnsi="Calibri"/>
          <w:sz w:val="22"/>
          <w:szCs w:val="22"/>
        </w:rPr>
        <w:t xml:space="preserve">Le non-respect de la présente charte peut, selon la gravité et les circonstances, constituer un manquement aux obligations professionnelles et donner lieu aux mesures disciplinaires prévues par le règlement intérieur, dans le respect de la procédure applicable (articles L1331-1 et suivants du code du travail), sans préjudice des actions civiles ou pénales qui pourraient être engagées par des tiers. Les sanctions sont graduées et proportionnées ; l'intéressé est entendu avant toute décision.</w:t>
      </w:r>
    </w:p>
    <w:p>
      <w:pPr>
        <w:spacing w:after="120" w:line="276"/>
      </w:pPr>
      <w:r>
        <w:rPr>
          <w:rFonts w:ascii="Calibri" w:cs="Calibri" w:eastAsia="Calibri" w:hAnsi="Calibri"/>
          <w:sz w:val="22"/>
          <w:szCs w:val="22"/>
        </w:rPr>
        <w:t xml:space="preserve">Sont notamment considérés comme graves : la saisie délibérée de données rouges dans un outil non approuvé, l'usage d'un compte personnel pour des données de l'entreprise, la diffusion externe d'un contenu généré sans vérification ayant causé un préjudice, l'installation d'un agent sans validation, l'usage de l'IA pour produire un contenu trompeur, discriminatoire ou portant atteinte à une personne, et la dissimulation d'un incident.</w:t>
      </w:r>
    </w:p>
    <w:p>
      <w:pPr>
        <w:spacing w:after="120" w:line="276"/>
      </w:pPr>
      <w:r>
        <w:rPr>
          <w:rFonts w:ascii="Calibri" w:cs="Calibri" w:eastAsia="Calibri" w:hAnsi="Calibri"/>
          <w:sz w:val="22"/>
          <w:szCs w:val="22"/>
        </w:rPr>
        <w:t xml:space="preserve">Pour les prestataires et sous-traitants, les manquements sont traités conformément aux dispositions contractuelles applicables.</w:t>
      </w:r>
    </w:p>
    <w:p>
      <w:pPr>
        <w:pBdr>
          <w:left w:val="single" w:color="B8C4D6" w:sz="12" w:space="8"/>
        </w:pBdr>
        <w:spacing w:after="160" w:line="276"/>
        <w:ind w:left="360"/>
      </w:pPr>
      <w:r>
        <w:rPr>
          <w:rFonts w:ascii="Calibri" w:cs="Calibri" w:eastAsia="Calibri" w:hAnsi="Calibri"/>
          <w:b/>
          <w:bCs/>
          <w:i/>
          <w:iCs/>
          <w:color w:val="666666"/>
          <w:sz w:val="20"/>
          <w:szCs w:val="20"/>
        </w:rPr>
        <w:t xml:space="preserve">Note pour le rédacteur : </w:t>
      </w:r>
      <w:r>
        <w:rPr>
          <w:rFonts w:ascii="Calibri" w:cs="Calibri" w:eastAsia="Calibri" w:hAnsi="Calibri"/>
          <w:i/>
          <w:iCs/>
          <w:color w:val="666666"/>
          <w:sz w:val="20"/>
          <w:szCs w:val="20"/>
        </w:rPr>
        <w:t xml:space="preserve">Seul le règlement intérieur peut fonder une sanction disciplinaire : une charte diffusée par email ou signée isolément a une valeur d'information, pas de sanction. Faites valider cet article par votre conseil en droit social.</w:t>
      </w:r>
    </w:p>
    <w:p>
      <w:pPr>
        <w:pStyle w:val="Heading1"/>
        <w:spacing w:after="160" w:before="360"/>
      </w:pPr>
      <w:r>
        <w:t xml:space="preserve">Article 14. Revue et mise à jour</w:t>
      </w:r>
    </w:p>
    <w:p>
      <w:pPr>
        <w:spacing w:after="120" w:line="276"/>
      </w:pPr>
      <w:r>
        <w:rPr>
          <w:rFonts w:ascii="Calibri" w:cs="Calibri" w:eastAsia="Calibri" w:hAnsi="Calibri"/>
          <w:sz w:val="22"/>
          <w:szCs w:val="22"/>
        </w:rPr>
        <w:t xml:space="preserve">La présente charte est revue au moins </w:t>
      </w:r>
      <w:r>
        <w:rPr>
          <w:rFonts w:ascii="Calibri" w:cs="Calibri" w:eastAsia="Calibri" w:hAnsi="Calibri"/>
          <w:sz w:val="22"/>
          <w:szCs w:val="22"/>
          <w:shd w:fill="FFF2A8" w:color="auto" w:val="clear"/>
        </w:rPr>
        <w:t xml:space="preserve">[une fois par an]</w:t>
      </w:r>
      <w:r>
        <w:rPr>
          <w:rFonts w:ascii="Calibri" w:cs="Calibri" w:eastAsia="Calibri" w:hAnsi="Calibri"/>
          <w:sz w:val="22"/>
          <w:szCs w:val="22"/>
        </w:rPr>
        <w:t xml:space="preserve"> et à chaque évolution significative des outils, des usages ou de la réglementation. Les prochaines échéances réglementaires connues figurent en annexe B. L'annexe A (registre des outils) peut être mise à jour à tout moment par le référent IA sans nouvelle signature de la charte ; les utilisateurs en sont informés par </w:t>
      </w:r>
      <w:r>
        <w:rPr>
          <w:rFonts w:ascii="Calibri" w:cs="Calibri" w:eastAsia="Calibri" w:hAnsi="Calibri"/>
          <w:sz w:val="22"/>
          <w:szCs w:val="22"/>
          <w:shd w:fill="FFF2A8" w:color="auto" w:val="clear"/>
        </w:rPr>
        <w:t xml:space="preserve">[canal de communication]</w:t>
      </w:r>
      <w:r>
        <w:rPr>
          <w:rFonts w:ascii="Calibri" w:cs="Calibri" w:eastAsia="Calibri" w:hAnsi="Calibri"/>
          <w:sz w:val="22"/>
          <w:szCs w:val="22"/>
        </w:rPr>
        <w:t xml:space="preserve">. Pendant les six premiers mois, le registre est revu </w:t>
      </w:r>
      <w:r>
        <w:rPr>
          <w:rFonts w:ascii="Calibri" w:cs="Calibri" w:eastAsia="Calibri" w:hAnsi="Calibri"/>
          <w:sz w:val="22"/>
          <w:szCs w:val="22"/>
          <w:shd w:fill="FFF2A8" w:color="auto" w:val="clear"/>
        </w:rPr>
        <w:t xml:space="preserve">[chaque mois]</w:t>
      </w:r>
      <w:r>
        <w:rPr>
          <w:rFonts w:ascii="Calibri" w:cs="Calibri" w:eastAsia="Calibri" w:hAnsi="Calibri"/>
          <w:sz w:val="22"/>
          <w:szCs w:val="22"/>
        </w:rPr>
        <w:t xml:space="preserve">.</w:t>
      </w:r>
    </w:p>
    <w:p>
      <w:pPr>
        <w:spacing w:after="120" w:line="276"/>
      </w:pPr>
      <w:r>
        <w:rPr>
          <w:rFonts w:ascii="Calibri" w:cs="Calibri" w:eastAsia="Calibri" w:hAnsi="Calibri"/>
          <w:sz w:val="22"/>
          <w:szCs w:val="22"/>
        </w:rPr>
        <w:t xml:space="preserve">L'autorisation d'un outil est réexaminée, et le cas échéant suspendue, lorsque son éditeur change de propriétaire, de conditions d'utilisation, d'hébergement ou de politique d'entraînement, ou lorsqu'une nouvelle législation, notamment extraterritoriale, s'applique à lui.</w:t>
      </w:r>
    </w:p>
    <w:p>
      <w:pPr>
        <w:spacing w:after="120" w:line="276"/>
      </w:pPr>
      <w:r>
        <w:rPr>
          <w:rFonts w:ascii="Calibri" w:cs="Calibri" w:eastAsia="Calibri" w:hAnsi="Calibri"/>
          <w:sz w:val="22"/>
          <w:szCs w:val="22"/>
        </w:rPr>
        <w:t xml:space="preserve">Toute modification du corps de la charte est communiquée à l'ensemble des personnes concernées, avec un délai d'application de </w:t>
      </w:r>
      <w:r>
        <w:rPr>
          <w:rFonts w:ascii="Calibri" w:cs="Calibri" w:eastAsia="Calibri" w:hAnsi="Calibri"/>
          <w:sz w:val="22"/>
          <w:szCs w:val="22"/>
          <w:shd w:fill="FFF2A8" w:color="auto" w:val="clear"/>
        </w:rPr>
        <w:t xml:space="preserve">[un mois]</w:t>
      </w:r>
      <w:r>
        <w:rPr>
          <w:rFonts w:ascii="Calibri" w:cs="Calibri" w:eastAsia="Calibri" w:hAnsi="Calibri"/>
          <w:sz w:val="22"/>
          <w:szCs w:val="22"/>
        </w:rPr>
        <w:t xml:space="preserve">.</w:t>
      </w:r>
    </w:p>
    <w:p>
      <w:pPr>
        <w:pBdr>
          <w:left w:val="single" w:color="B8C4D6" w:sz="12" w:space="8"/>
        </w:pBdr>
        <w:spacing w:after="160" w:line="276"/>
        <w:ind w:left="360"/>
      </w:pPr>
      <w:r>
        <w:rPr>
          <w:rFonts w:ascii="Calibri" w:cs="Calibri" w:eastAsia="Calibri" w:hAnsi="Calibri"/>
          <w:b/>
          <w:bCs/>
          <w:i/>
          <w:iCs/>
          <w:color w:val="666666"/>
          <w:sz w:val="20"/>
          <w:szCs w:val="20"/>
        </w:rPr>
        <w:t xml:space="preserve">Note pour le rédacteur : </w:t>
      </w:r>
      <w:r>
        <w:rPr>
          <w:rFonts w:ascii="Calibri" w:cs="Calibri" w:eastAsia="Calibri" w:hAnsi="Calibri"/>
          <w:i/>
          <w:iCs/>
          <w:color w:val="666666"/>
          <w:sz w:val="20"/>
          <w:szCs w:val="20"/>
        </w:rPr>
        <w:t xml:space="preserve">Les déclencheurs de réexamen sont repris du modèle de charte du Barreau de Paris (juillet 2026). Ils évitent de découvrir six mois trop tard qu'un outil approuvé a changé de mains.</w:t>
      </w:r>
    </w:p>
    <w:p>
      <w:pPr>
        <w:pStyle w:val="Heading1"/>
        <w:spacing w:after="160" w:before="360"/>
      </w:pPr>
      <w:r>
        <w:t xml:space="preserve">Article 15. Adoption et acceptation</w:t>
      </w:r>
    </w:p>
    <w:p>
      <w:pPr>
        <w:pStyle w:val="Heading2"/>
        <w:spacing w:after="120" w:before="240"/>
      </w:pPr>
      <w:r>
        <w:t xml:space="preserve">15.1 Adoption</w:t>
      </w:r>
    </w:p>
    <w:p>
      <w:pPr>
        <w:spacing w:after="120" w:line="276"/>
      </w:pPr>
      <w:r>
        <w:rPr>
          <w:rFonts w:ascii="Calibri" w:cs="Calibri" w:eastAsia="Calibri" w:hAnsi="Calibri"/>
          <w:sz w:val="22"/>
          <w:szCs w:val="22"/>
        </w:rPr>
        <w:t xml:space="preserve">La présente charte a été soumise pour avis au comité social et économique le </w:t>
      </w:r>
      <w:r>
        <w:rPr>
          <w:rFonts w:ascii="Calibri" w:cs="Calibri" w:eastAsia="Calibri" w:hAnsi="Calibri"/>
          <w:sz w:val="22"/>
          <w:szCs w:val="22"/>
          <w:shd w:fill="FFF2A8" w:color="auto" w:val="clear"/>
        </w:rPr>
        <w:t xml:space="preserve">[date]</w:t>
      </w:r>
      <w:r>
        <w:rPr>
          <w:rFonts w:ascii="Calibri" w:cs="Calibri" w:eastAsia="Calibri" w:hAnsi="Calibri"/>
          <w:sz w:val="22"/>
          <w:szCs w:val="22"/>
        </w:rPr>
        <w:t xml:space="preserve"> et adoptée par la direction le </w:t>
      </w:r>
      <w:r>
        <w:rPr>
          <w:rFonts w:ascii="Calibri" w:cs="Calibri" w:eastAsia="Calibri" w:hAnsi="Calibri"/>
          <w:sz w:val="22"/>
          <w:szCs w:val="22"/>
          <w:shd w:fill="FFF2A8" w:color="auto" w:val="clear"/>
        </w:rPr>
        <w:t xml:space="preserve">[date]</w:t>
      </w:r>
      <w:r>
        <w:rPr>
          <w:rFonts w:ascii="Calibri" w:cs="Calibri" w:eastAsia="Calibri" w:hAnsi="Calibri"/>
          <w:sz w:val="22"/>
          <w:szCs w:val="22"/>
        </w:rPr>
        <w:t xml:space="preserve">. Elle est </w:t>
      </w:r>
      <w:r>
        <w:rPr>
          <w:rFonts w:ascii="Calibri" w:cs="Calibri" w:eastAsia="Calibri" w:hAnsi="Calibri"/>
          <w:sz w:val="22"/>
          <w:szCs w:val="22"/>
          <w:shd w:fill="FFF2A8" w:color="auto" w:val="clear"/>
        </w:rPr>
        <w:t xml:space="preserve">[adjointe au règlement intérieur, déposée au greffe du conseil de prud'hommes et transmise à l'inspection du travail conformément à l'article L1321-5 du code du travail]</w:t>
      </w:r>
      <w:r>
        <w:rPr>
          <w:rFonts w:ascii="Calibri" w:cs="Calibri" w:eastAsia="Calibri" w:hAnsi="Calibri"/>
          <w:sz w:val="22"/>
          <w:szCs w:val="22"/>
        </w:rPr>
        <w:t xml:space="preserve">. Elle entre en vigueur le </w:t>
      </w:r>
      <w:r>
        <w:rPr>
          <w:rFonts w:ascii="Calibri" w:cs="Calibri" w:eastAsia="Calibri" w:hAnsi="Calibri"/>
          <w:sz w:val="22"/>
          <w:szCs w:val="22"/>
          <w:shd w:fill="FFF2A8" w:color="auto" w:val="clear"/>
        </w:rPr>
        <w:t xml:space="preserve">[date]</w:t>
      </w:r>
      <w:r>
        <w:rPr>
          <w:rFonts w:ascii="Calibri" w:cs="Calibri" w:eastAsia="Calibri" w:hAnsi="Calibri"/>
          <w:sz w:val="22"/>
          <w:szCs w:val="22"/>
        </w:rPr>
        <w:t xml:space="preserve">.</w:t>
      </w:r>
    </w:p>
    <w:p>
      <w:pPr>
        <w:pStyle w:val="Heading2"/>
        <w:spacing w:after="120" w:before="240"/>
      </w:pPr>
      <w:r>
        <w:t xml:space="preserve">15.2 Acceptation individuelle</w:t>
      </w:r>
    </w:p>
    <w:p>
      <w:pPr>
        <w:spacing w:after="120" w:line="276"/>
      </w:pPr>
      <w:r>
        <w:rPr>
          <w:rFonts w:ascii="Calibri" w:cs="Calibri" w:eastAsia="Calibri" w:hAnsi="Calibri"/>
          <w:sz w:val="22"/>
          <w:szCs w:val="22"/>
        </w:rPr>
        <w:t xml:space="preserve">Je soussigné(e), reconnais avoir pris connaissance de la charte d'usage de l'intelligence artificielle et m'engage à la respecter dans le cadre de mes fonctions.</w:t>
      </w:r>
    </w:p>
    <w:p>
      <w:pPr>
        <w:spacing w:after="60"/>
      </w:pPr>
      <w:r>
        <w:rPr>
          <w:rFonts w:ascii="Calibri" w:cs="Calibri" w:eastAsia="Calibri" w:hAnsi="Calibri"/>
          <w:sz w:val="22"/>
          <w:szCs w:val="22"/>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00"/>
        <w:gridCol w:w="3200"/>
        <w:gridCol w:w="3238"/>
      </w:tblGrid>
      <w:tr>
        <w:trPr>
          <w:tblHeader/>
        </w:trPr>
        <w:tc>
          <w:tcPr>
            <w:tcW w:type="dxa" w:w="3200"/>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Nom et prénom</w:t>
            </w:r>
          </w:p>
        </w:tc>
        <w:tc>
          <w:tcPr>
            <w:tcW w:type="dxa" w:w="3200"/>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Fonction</w:t>
            </w:r>
          </w:p>
        </w:tc>
        <w:tc>
          <w:tcPr>
            <w:tcW w:type="dxa" w:w="3238"/>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Date et signature</w:t>
            </w:r>
          </w:p>
        </w:tc>
      </w:tr>
      <w:tr>
        <w:trPr>
          <w:tblHeader w:val="false"/>
        </w:trPr>
        <w:tc>
          <w:tcPr>
            <w:tcW w:type="dxa" w:w="32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 </w:t>
            </w:r>
          </w:p>
        </w:tc>
        <w:tc>
          <w:tcPr>
            <w:tcW w:type="dxa" w:w="32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 </w:t>
            </w:r>
          </w:p>
        </w:tc>
        <w:tc>
          <w:tcPr>
            <w:tcW w:type="dxa" w:w="32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 </w:t>
            </w:r>
          </w:p>
        </w:tc>
      </w:tr>
    </w:tbl>
    <w:p>
      <w:pPr>
        <w:spacing w:after="60"/>
      </w:pPr>
      <w:r>
        <w:rPr>
          <w:rFonts w:ascii="Calibri" w:cs="Calibri" w:eastAsia="Calibri" w:hAnsi="Calibri"/>
          <w:sz w:val="22"/>
          <w:szCs w:val="22"/>
        </w:rPr>
        <w:t xml:space="preserve"/>
      </w:r>
    </w:p>
    <w:p>
      <w:pPr>
        <w:spacing w:after="120" w:line="276"/>
      </w:pPr>
      <w:r>
        <w:rPr>
          <w:rFonts w:ascii="Calibri" w:cs="Calibri" w:eastAsia="Calibri" w:hAnsi="Calibri"/>
          <w:sz w:val="22"/>
          <w:szCs w:val="22"/>
        </w:rPr>
        <w:t xml:space="preserve">Pour </w:t>
      </w:r>
      <w:r>
        <w:rPr>
          <w:rFonts w:ascii="Calibri" w:cs="Calibri" w:eastAsia="Calibri" w:hAnsi="Calibri"/>
          <w:sz w:val="22"/>
          <w:szCs w:val="22"/>
          <w:shd w:fill="FFF2A8" w:color="auto" w:val="clear"/>
        </w:rPr>
        <w:t xml:space="preserve">[Nom de l'entreprise]</w:t>
      </w:r>
      <w:r>
        <w:rPr>
          <w:rFonts w:ascii="Calibri" w:cs="Calibri" w:eastAsia="Calibri" w:hAnsi="Calibri"/>
          <w:sz w:val="22"/>
          <w:szCs w:val="22"/>
        </w:rPr>
        <w:t xml:space="preserve"> : </w:t>
      </w:r>
      <w:r>
        <w:rPr>
          <w:rFonts w:ascii="Calibri" w:cs="Calibri" w:eastAsia="Calibri" w:hAnsi="Calibri"/>
          <w:sz w:val="22"/>
          <w:szCs w:val="22"/>
          <w:shd w:fill="FFF2A8" w:color="auto" w:val="clear"/>
        </w:rPr>
        <w:t xml:space="preserve">[Nom, fonction du signataire]</w:t>
      </w:r>
    </w:p>
    <w:p>
      <w:pPr>
        <w:spacing w:after="60"/>
      </w:pPr>
      <w:r>
        <w:rPr>
          <w:rFonts w:ascii="Calibri" w:cs="Calibri" w:eastAsia="Calibri" w:hAnsi="Calibri"/>
          <w:sz w:val="22"/>
          <w:szCs w:val="22"/>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00"/>
        <w:gridCol w:w="4838"/>
      </w:tblGrid>
      <w:tr>
        <w:trPr>
          <w:tblHeader/>
        </w:trPr>
        <w:tc>
          <w:tcPr>
            <w:tcW w:type="dxa" w:w="4800"/>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Date</w:t>
            </w:r>
          </w:p>
        </w:tc>
        <w:tc>
          <w:tcPr>
            <w:tcW w:type="dxa" w:w="4838"/>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Signature</w:t>
            </w:r>
          </w:p>
        </w:tc>
      </w:tr>
      <w:tr>
        <w:trPr>
          <w:tblHeader w:val="false"/>
        </w:trPr>
        <w:tc>
          <w:tcPr>
            <w:tcW w:type="dxa" w:w="48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 </w:t>
            </w:r>
          </w:p>
        </w:tc>
        <w:tc>
          <w:tcPr>
            <w:tcW w:type="dxa" w:w="48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 </w:t>
            </w:r>
          </w:p>
        </w:tc>
      </w:tr>
    </w:tbl>
    <w:p>
      <w:pPr>
        <w:spacing w:after="60"/>
      </w:pPr>
      <w:r>
        <w:rPr>
          <w:rFonts w:ascii="Calibri" w:cs="Calibri" w:eastAsia="Calibri" w:hAnsi="Calibri"/>
          <w:sz w:val="22"/>
          <w:szCs w:val="22"/>
        </w:rPr>
        <w:t xml:space="preserve"/>
      </w:r>
    </w:p>
    <w:p>
      <w:pPr>
        <w:pBdr>
          <w:left w:val="single" w:color="B8C4D6" w:sz="12" w:space="8"/>
        </w:pBdr>
        <w:spacing w:after="160" w:line="276"/>
        <w:ind w:left="360"/>
      </w:pPr>
      <w:r>
        <w:rPr>
          <w:rFonts w:ascii="Calibri" w:cs="Calibri" w:eastAsia="Calibri" w:hAnsi="Calibri"/>
          <w:b/>
          <w:bCs/>
          <w:i/>
          <w:iCs/>
          <w:color w:val="666666"/>
          <w:sz w:val="20"/>
          <w:szCs w:val="20"/>
        </w:rPr>
        <w:t xml:space="preserve">Note pour le rédacteur : </w:t>
      </w:r>
      <w:r>
        <w:rPr>
          <w:rFonts w:ascii="Calibri" w:cs="Calibri" w:eastAsia="Calibri" w:hAnsi="Calibri"/>
          <w:i/>
          <w:iCs/>
          <w:color w:val="666666"/>
          <w:sz w:val="20"/>
          <w:szCs w:val="20"/>
        </w:rPr>
        <w:t xml:space="preserve">Trois points de droit du travail. 1) Le CSE doit être informé et consulté avant l'introduction d'outils d'IA ayant un impact sur les conditions de travail (article L2312-8), y compris en phase pilote : le tribunal judiciaire de Nanterre a suspendu sous astreinte, le 14 février 2025, un déploiement lancé sans consultation. 2) Les salariés sont informés préalablement de tout dispositif permettant de contrôler leur activité (articles L1222-4 et L2312-38). 3) Pour être opposable disciplinairement, la charte est adjointe au règlement intérieur selon la procédure de l'article L1321-5 (avis du CSE, dépôt, transmission à l'inspection du travail, entrée en vigueur un mois après les formalités). Dans une entreprise de moins de 50 salariés sans règlement intérieur, une note de service signée individuellement en tient lieu. La signature peut être manuscrite, électronique ou remplacée par un accusé de lecture tracé.</w:t>
      </w:r>
    </w:p>
    <w:p>
      <w:r>
        <w:br w:type="page"/>
      </w:r>
    </w:p>
    <w:p>
      <w:pPr>
        <w:pStyle w:val="Heading1"/>
        <w:spacing w:after="160" w:before="360"/>
      </w:pPr>
      <w:r>
        <w:t xml:space="preserve">Annexe A. Registre des outils IA</w:t>
      </w:r>
    </w:p>
    <w:p>
      <w:pPr>
        <w:spacing w:after="120" w:line="276"/>
      </w:pPr>
      <w:r>
        <w:rPr>
          <w:rFonts w:ascii="Calibri" w:cs="Calibri" w:eastAsia="Calibri" w:hAnsi="Calibri"/>
          <w:sz w:val="22"/>
          <w:szCs w:val="22"/>
        </w:rPr>
        <w:t xml:space="preserve">Tenu à jour par le référent IA. Version du </w:t>
      </w:r>
      <w:r>
        <w:rPr>
          <w:rFonts w:ascii="Calibri" w:cs="Calibri" w:eastAsia="Calibri" w:hAnsi="Calibri"/>
          <w:sz w:val="22"/>
          <w:szCs w:val="22"/>
          <w:shd w:fill="FFF2A8" w:color="auto" w:val="clear"/>
        </w:rPr>
        <w:t xml:space="preserve">[date]</w:t>
      </w:r>
      <w:r>
        <w:rPr>
          <w:rFonts w:ascii="Calibri" w:cs="Calibri" w:eastAsia="Calibri" w:hAnsi="Calibri"/>
          <w:sz w:val="22"/>
          <w:szCs w:val="22"/>
        </w:rPr>
        <w:t xml:space="preserve">. Revue </w:t>
      </w:r>
      <w:r>
        <w:rPr>
          <w:rFonts w:ascii="Calibri" w:cs="Calibri" w:eastAsia="Calibri" w:hAnsi="Calibri"/>
          <w:sz w:val="22"/>
          <w:szCs w:val="22"/>
          <w:shd w:fill="FFF2A8" w:color="auto" w:val="clear"/>
        </w:rPr>
        <w:t xml:space="preserve">[mensuelle]</w:t>
      </w:r>
      <w:r>
        <w:rPr>
          <w:rFonts w:ascii="Calibri" w:cs="Calibri" w:eastAsia="Calibri" w:hAnsi="Calibri"/>
          <w:sz w:val="22"/>
          <w:szCs w:val="22"/>
        </w:rPr>
        <w:t xml:space="preserve"> pendant six mois, puis </w:t>
      </w:r>
      <w:r>
        <w:rPr>
          <w:rFonts w:ascii="Calibri" w:cs="Calibri" w:eastAsia="Calibri" w:hAnsi="Calibri"/>
          <w:sz w:val="22"/>
          <w:szCs w:val="22"/>
          <w:shd w:fill="FFF2A8" w:color="auto" w:val="clear"/>
        </w:rPr>
        <w:t xml:space="preserve">[trimestrielle]</w:t>
      </w:r>
      <w:r>
        <w:rPr>
          <w:rFonts w:ascii="Calibri" w:cs="Calibri" w:eastAsia="Calibri" w:hAnsi="Calibri"/>
          <w:sz w:val="22"/>
          <w:szCs w:val="22"/>
        </w:rPr>
        <w:t xml:space="preserv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500"/>
        <w:gridCol w:w="1000"/>
        <w:gridCol w:w="1200"/>
        <w:gridCol w:w="1300"/>
        <w:gridCol w:w="2400"/>
        <w:gridCol w:w="1238"/>
        <w:gridCol w:w="1000"/>
      </w:tblGrid>
      <w:tr>
        <w:trPr>
          <w:tblHeader/>
        </w:trPr>
        <w:tc>
          <w:tcPr>
            <w:tcW w:type="dxa" w:w="1500"/>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Outil et version</w:t>
            </w:r>
          </w:p>
        </w:tc>
        <w:tc>
          <w:tcPr>
            <w:tcW w:type="dxa" w:w="1000"/>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Statut</w:t>
            </w:r>
          </w:p>
        </w:tc>
        <w:tc>
          <w:tcPr>
            <w:tcW w:type="dxa" w:w="1200"/>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Validé le / par</w:t>
            </w:r>
          </w:p>
        </w:tc>
        <w:tc>
          <w:tcPr>
            <w:tcW w:type="dxa" w:w="1300"/>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Niveau de données</w:t>
            </w:r>
          </w:p>
        </w:tc>
        <w:tc>
          <w:tcPr>
            <w:tcW w:type="dxa" w:w="2400"/>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Garanties vérifiées</w:t>
            </w:r>
          </w:p>
        </w:tc>
        <w:tc>
          <w:tcPr>
            <w:tcW w:type="dxa" w:w="1238"/>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Conditions d'usage</w:t>
            </w:r>
          </w:p>
        </w:tc>
        <w:tc>
          <w:tcPr>
            <w:tcW w:type="dxa" w:w="1000"/>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Réexamen</w:t>
            </w:r>
          </w:p>
        </w:tc>
      </w:tr>
      <w:tr>
        <w:trPr>
          <w:tblHeader w:val="false"/>
        </w:trPr>
        <w:tc>
          <w:tcPr>
            <w:tcW w:type="dxa" w:w="1500"/>
            <w:tcBorders>
              <w:top w:val="single" w:color="B8C4D6" w:sz="4"/>
              <w:left w:val="single" w:color="B8C4D6" w:sz="4"/>
              <w:bottom w:val="single" w:color="B8C4D6" w:sz="4"/>
              <w:right w:val="single" w:color="B8C4D6" w:sz="4"/>
            </w:tcBorders>
            <w:shd w:fill="E3F4E3" w:color="auto" w:val="clear"/>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[Assistant IA, offre entreprise]</w:t>
            </w:r>
          </w:p>
        </w:tc>
        <w:tc>
          <w:tcPr>
            <w:tcW w:type="dxa" w:w="1000"/>
            <w:tcBorders>
              <w:top w:val="single" w:color="B8C4D6" w:sz="4"/>
              <w:left w:val="single" w:color="B8C4D6" w:sz="4"/>
              <w:bottom w:val="single" w:color="B8C4D6" w:sz="4"/>
              <w:right w:val="single" w:color="B8C4D6" w:sz="4"/>
            </w:tcBorders>
            <w:shd w:fill="E3F4E3"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Approuvé</w:t>
            </w:r>
          </w:p>
        </w:tc>
        <w:tc>
          <w:tcPr>
            <w:tcW w:type="dxa" w:w="1200"/>
            <w:tcBorders>
              <w:top w:val="single" w:color="B8C4D6" w:sz="4"/>
              <w:left w:val="single" w:color="B8C4D6" w:sz="4"/>
              <w:bottom w:val="single" w:color="B8C4D6" w:sz="4"/>
              <w:right w:val="single" w:color="B8C4D6" w:sz="4"/>
            </w:tcBorders>
            <w:shd w:fill="E3F4E3" w:color="auto" w:val="clear"/>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[date]</w:t>
            </w:r>
            <w:r>
              <w:rPr>
                <w:rFonts w:ascii="Calibri" w:cs="Calibri" w:eastAsia="Calibri" w:hAnsi="Calibri"/>
                <w:sz w:val="20"/>
                <w:szCs w:val="20"/>
              </w:rPr>
              <w:t xml:space="preserve"> / </w:t>
            </w:r>
            <w:r>
              <w:rPr>
                <w:rFonts w:ascii="Calibri" w:cs="Calibri" w:eastAsia="Calibri" w:hAnsi="Calibri"/>
                <w:sz w:val="20"/>
                <w:szCs w:val="20"/>
                <w:shd w:fill="FFF2A8" w:color="auto" w:val="clear"/>
              </w:rPr>
              <w:t xml:space="preserve">[référent]</w:t>
            </w:r>
          </w:p>
        </w:tc>
        <w:tc>
          <w:tcPr>
            <w:tcW w:type="dxa" w:w="1300"/>
            <w:tcBorders>
              <w:top w:val="single" w:color="B8C4D6" w:sz="4"/>
              <w:left w:val="single" w:color="B8C4D6" w:sz="4"/>
              <w:bottom w:val="single" w:color="B8C4D6" w:sz="4"/>
              <w:right w:val="single" w:color="B8C4D6" w:sz="4"/>
            </w:tcBorders>
            <w:shd w:fill="E3F4E3"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Vert, orange</w:t>
            </w:r>
          </w:p>
        </w:tc>
        <w:tc>
          <w:tcPr>
            <w:tcW w:type="dxa" w:w="2400"/>
            <w:tcBorders>
              <w:top w:val="single" w:color="B8C4D6" w:sz="4"/>
              <w:left w:val="single" w:color="B8C4D6" w:sz="4"/>
              <w:bottom w:val="single" w:color="B8C4D6" w:sz="4"/>
              <w:right w:val="single" w:color="B8C4D6" w:sz="4"/>
            </w:tcBorders>
            <w:shd w:fill="E3F4E3"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Contrat de sous-traitance signé le </w:t>
            </w:r>
            <w:r>
              <w:rPr>
                <w:rFonts w:ascii="Calibri" w:cs="Calibri" w:eastAsia="Calibri" w:hAnsi="Calibri"/>
                <w:sz w:val="20"/>
                <w:szCs w:val="20"/>
                <w:shd w:fill="FFF2A8" w:color="auto" w:val="clear"/>
              </w:rPr>
              <w:t xml:space="preserve">[date]</w:t>
            </w:r>
            <w:r>
              <w:rPr>
                <w:rFonts w:ascii="Calibri" w:cs="Calibri" w:eastAsia="Calibri" w:hAnsi="Calibri"/>
                <w:sz w:val="20"/>
                <w:szCs w:val="20"/>
              </w:rPr>
              <w:t xml:space="preserve"> ; pas d'entraînement sur nos données ; hébergement </w:t>
            </w:r>
            <w:r>
              <w:rPr>
                <w:rFonts w:ascii="Calibri" w:cs="Calibri" w:eastAsia="Calibri" w:hAnsi="Calibri"/>
                <w:sz w:val="20"/>
                <w:szCs w:val="20"/>
                <w:shd w:fill="FFF2A8" w:color="auto" w:val="clear"/>
              </w:rPr>
              <w:t xml:space="preserve">[UE]</w:t>
            </w:r>
            <w:r>
              <w:rPr>
                <w:rFonts w:ascii="Calibri" w:cs="Calibri" w:eastAsia="Calibri" w:hAnsi="Calibri"/>
                <w:sz w:val="20"/>
                <w:szCs w:val="20"/>
              </w:rPr>
              <w:t xml:space="preserve"> ; historique désactivable ; propriété des sorties : </w:t>
            </w:r>
            <w:r>
              <w:rPr>
                <w:rFonts w:ascii="Calibri" w:cs="Calibri" w:eastAsia="Calibri" w:hAnsi="Calibri"/>
                <w:sz w:val="20"/>
                <w:szCs w:val="20"/>
                <w:shd w:fill="FFF2A8" w:color="auto" w:val="clear"/>
              </w:rPr>
              <w:t xml:space="preserve">[client]</w:t>
            </w:r>
          </w:p>
        </w:tc>
        <w:tc>
          <w:tcPr>
            <w:tcW w:type="dxa" w:w="1238"/>
            <w:tcBorders>
              <w:top w:val="single" w:color="B8C4D6" w:sz="4"/>
              <w:left w:val="single" w:color="B8C4D6" w:sz="4"/>
              <w:bottom w:val="single" w:color="B8C4D6" w:sz="4"/>
              <w:right w:val="single" w:color="B8C4D6" w:sz="4"/>
            </w:tcBorders>
            <w:shd w:fill="E3F4E3"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Compte pro + MFA</w:t>
            </w:r>
          </w:p>
        </w:tc>
        <w:tc>
          <w:tcPr>
            <w:tcW w:type="dxa" w:w="1000"/>
            <w:tcBorders>
              <w:top w:val="single" w:color="B8C4D6" w:sz="4"/>
              <w:left w:val="single" w:color="B8C4D6" w:sz="4"/>
              <w:bottom w:val="single" w:color="B8C4D6" w:sz="4"/>
              <w:right w:val="single" w:color="B8C4D6" w:sz="4"/>
            </w:tcBorders>
            <w:shd w:fill="E3F4E3" w:color="auto" w:val="clear"/>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[date]</w:t>
            </w:r>
          </w:p>
        </w:tc>
      </w:tr>
      <w:tr>
        <w:trPr>
          <w:tblHeader w:val="false"/>
        </w:trPr>
        <w:tc>
          <w:tcPr>
            <w:tcW w:type="dxa" w:w="1500"/>
            <w:tcBorders>
              <w:top w:val="single" w:color="B8C4D6" w:sz="4"/>
              <w:left w:val="single" w:color="B8C4D6" w:sz="4"/>
              <w:bottom w:val="single" w:color="B8C4D6" w:sz="4"/>
              <w:right w:val="single" w:color="B8C4D6" w:sz="4"/>
            </w:tcBorders>
            <w:shd w:fill="E3F4E3" w:color="auto" w:val="clear"/>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[Assistant intégré à la suite bureautique]</w:t>
            </w:r>
          </w:p>
        </w:tc>
        <w:tc>
          <w:tcPr>
            <w:tcW w:type="dxa" w:w="1000"/>
            <w:tcBorders>
              <w:top w:val="single" w:color="B8C4D6" w:sz="4"/>
              <w:left w:val="single" w:color="B8C4D6" w:sz="4"/>
              <w:bottom w:val="single" w:color="B8C4D6" w:sz="4"/>
              <w:right w:val="single" w:color="B8C4D6" w:sz="4"/>
            </w:tcBorders>
            <w:shd w:fill="E3F4E3"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Approuvé</w:t>
            </w:r>
          </w:p>
        </w:tc>
        <w:tc>
          <w:tcPr>
            <w:tcW w:type="dxa" w:w="1200"/>
            <w:tcBorders>
              <w:top w:val="single" w:color="B8C4D6" w:sz="4"/>
              <w:left w:val="single" w:color="B8C4D6" w:sz="4"/>
              <w:bottom w:val="single" w:color="B8C4D6" w:sz="4"/>
              <w:right w:val="single" w:color="B8C4D6" w:sz="4"/>
            </w:tcBorders>
            <w:shd w:fill="E3F4E3" w:color="auto" w:val="clear"/>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[date]</w:t>
            </w:r>
            <w:r>
              <w:rPr>
                <w:rFonts w:ascii="Calibri" w:cs="Calibri" w:eastAsia="Calibri" w:hAnsi="Calibri"/>
                <w:sz w:val="20"/>
                <w:szCs w:val="20"/>
              </w:rPr>
              <w:t xml:space="preserve"> / </w:t>
            </w:r>
            <w:r>
              <w:rPr>
                <w:rFonts w:ascii="Calibri" w:cs="Calibri" w:eastAsia="Calibri" w:hAnsi="Calibri"/>
                <w:sz w:val="20"/>
                <w:szCs w:val="20"/>
                <w:shd w:fill="FFF2A8" w:color="auto" w:val="clear"/>
              </w:rPr>
              <w:t xml:space="preserve">[référent]</w:t>
            </w:r>
          </w:p>
        </w:tc>
        <w:tc>
          <w:tcPr>
            <w:tcW w:type="dxa" w:w="1300"/>
            <w:tcBorders>
              <w:top w:val="single" w:color="B8C4D6" w:sz="4"/>
              <w:left w:val="single" w:color="B8C4D6" w:sz="4"/>
              <w:bottom w:val="single" w:color="B8C4D6" w:sz="4"/>
              <w:right w:val="single" w:color="B8C4D6" w:sz="4"/>
            </w:tcBorders>
            <w:shd w:fill="E3F4E3"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Vert, orange, rouge hors santé</w:t>
            </w:r>
          </w:p>
        </w:tc>
        <w:tc>
          <w:tcPr>
            <w:tcW w:type="dxa" w:w="2400"/>
            <w:tcBorders>
              <w:top w:val="single" w:color="B8C4D6" w:sz="4"/>
              <w:left w:val="single" w:color="B8C4D6" w:sz="4"/>
              <w:bottom w:val="single" w:color="B8C4D6" w:sz="4"/>
              <w:right w:val="single" w:color="B8C4D6" w:sz="4"/>
            </w:tcBorders>
            <w:shd w:fill="E3F4E3"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Couvert par le contrat cadre </w:t>
            </w:r>
            <w:r>
              <w:rPr>
                <w:rFonts w:ascii="Calibri" w:cs="Calibri" w:eastAsia="Calibri" w:hAnsi="Calibri"/>
                <w:sz w:val="20"/>
                <w:szCs w:val="20"/>
                <w:shd w:fill="FFF2A8" w:color="auto" w:val="clear"/>
              </w:rPr>
              <w:t xml:space="preserve">[éditeur]</w:t>
            </w:r>
            <w:r>
              <w:rPr>
                <w:rFonts w:ascii="Calibri" w:cs="Calibri" w:eastAsia="Calibri" w:hAnsi="Calibri"/>
                <w:sz w:val="20"/>
                <w:szCs w:val="20"/>
              </w:rPr>
              <w:t xml:space="preserve"> ; données traitées dans le périmètre du locataire</w:t>
            </w:r>
          </w:p>
        </w:tc>
        <w:tc>
          <w:tcPr>
            <w:tcW w:type="dxa" w:w="1238"/>
            <w:tcBorders>
              <w:top w:val="single" w:color="B8C4D6" w:sz="4"/>
              <w:left w:val="single" w:color="B8C4D6" w:sz="4"/>
              <w:bottom w:val="single" w:color="B8C4D6" w:sz="4"/>
              <w:right w:val="single" w:color="B8C4D6" w:sz="4"/>
            </w:tcBorders>
            <w:shd w:fill="E3F4E3"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Activé par la DSI</w:t>
            </w:r>
          </w:p>
        </w:tc>
        <w:tc>
          <w:tcPr>
            <w:tcW w:type="dxa" w:w="1000"/>
            <w:tcBorders>
              <w:top w:val="single" w:color="B8C4D6" w:sz="4"/>
              <w:left w:val="single" w:color="B8C4D6" w:sz="4"/>
              <w:bottom w:val="single" w:color="B8C4D6" w:sz="4"/>
              <w:right w:val="single" w:color="B8C4D6" w:sz="4"/>
            </w:tcBorders>
            <w:shd w:fill="E3F4E3" w:color="auto" w:val="clear"/>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[date]</w:t>
            </w:r>
          </w:p>
        </w:tc>
      </w:tr>
      <w:tr>
        <w:trPr>
          <w:tblHeader w:val="false"/>
        </w:trPr>
        <w:tc>
          <w:tcPr>
            <w:tcW w:type="dxa" w:w="1500"/>
            <w:tcBorders>
              <w:top w:val="single" w:color="B8C4D6" w:sz="4"/>
              <w:left w:val="single" w:color="B8C4D6" w:sz="4"/>
              <w:bottom w:val="single" w:color="B8C4D6" w:sz="4"/>
              <w:right w:val="single" w:color="B8C4D6" w:sz="4"/>
            </w:tcBorders>
            <w:shd w:fill="E3F4E3" w:color="auto" w:val="clear"/>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[Outil de transcription de réunion]</w:t>
            </w:r>
          </w:p>
        </w:tc>
        <w:tc>
          <w:tcPr>
            <w:tcW w:type="dxa" w:w="1000"/>
            <w:tcBorders>
              <w:top w:val="single" w:color="B8C4D6" w:sz="4"/>
              <w:left w:val="single" w:color="B8C4D6" w:sz="4"/>
              <w:bottom w:val="single" w:color="B8C4D6" w:sz="4"/>
              <w:right w:val="single" w:color="B8C4D6" w:sz="4"/>
            </w:tcBorders>
            <w:shd w:fill="E3F4E3"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Approuvé</w:t>
            </w:r>
          </w:p>
        </w:tc>
        <w:tc>
          <w:tcPr>
            <w:tcW w:type="dxa" w:w="1200"/>
            <w:tcBorders>
              <w:top w:val="single" w:color="B8C4D6" w:sz="4"/>
              <w:left w:val="single" w:color="B8C4D6" w:sz="4"/>
              <w:bottom w:val="single" w:color="B8C4D6" w:sz="4"/>
              <w:right w:val="single" w:color="B8C4D6" w:sz="4"/>
            </w:tcBorders>
            <w:shd w:fill="E3F4E3" w:color="auto" w:val="clear"/>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[date]</w:t>
            </w:r>
            <w:r>
              <w:rPr>
                <w:rFonts w:ascii="Calibri" w:cs="Calibri" w:eastAsia="Calibri" w:hAnsi="Calibri"/>
                <w:sz w:val="20"/>
                <w:szCs w:val="20"/>
              </w:rPr>
              <w:t xml:space="preserve"> / </w:t>
            </w:r>
            <w:r>
              <w:rPr>
                <w:rFonts w:ascii="Calibri" w:cs="Calibri" w:eastAsia="Calibri" w:hAnsi="Calibri"/>
                <w:sz w:val="20"/>
                <w:szCs w:val="20"/>
                <w:shd w:fill="FFF2A8" w:color="auto" w:val="clear"/>
              </w:rPr>
              <w:t xml:space="preserve">[référent]</w:t>
            </w:r>
          </w:p>
        </w:tc>
        <w:tc>
          <w:tcPr>
            <w:tcW w:type="dxa" w:w="1300"/>
            <w:tcBorders>
              <w:top w:val="single" w:color="B8C4D6" w:sz="4"/>
              <w:left w:val="single" w:color="B8C4D6" w:sz="4"/>
              <w:bottom w:val="single" w:color="B8C4D6" w:sz="4"/>
              <w:right w:val="single" w:color="B8C4D6" w:sz="4"/>
            </w:tcBorders>
            <w:shd w:fill="E3F4E3"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Orange</w:t>
            </w:r>
          </w:p>
        </w:tc>
        <w:tc>
          <w:tcPr>
            <w:tcW w:type="dxa" w:w="2400"/>
            <w:tcBorders>
              <w:top w:val="single" w:color="B8C4D6" w:sz="4"/>
              <w:left w:val="single" w:color="B8C4D6" w:sz="4"/>
              <w:bottom w:val="single" w:color="B8C4D6" w:sz="4"/>
              <w:right w:val="single" w:color="B8C4D6" w:sz="4"/>
            </w:tcBorders>
            <w:shd w:fill="E3F4E3"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Contrat de sous-traitance ; conservation </w:t>
            </w:r>
            <w:r>
              <w:rPr>
                <w:rFonts w:ascii="Calibri" w:cs="Calibri" w:eastAsia="Calibri" w:hAnsi="Calibri"/>
                <w:sz w:val="20"/>
                <w:szCs w:val="20"/>
                <w:shd w:fill="FFF2A8" w:color="auto" w:val="clear"/>
              </w:rPr>
              <w:t xml:space="preserve">[30 jours]</w:t>
            </w:r>
          </w:p>
        </w:tc>
        <w:tc>
          <w:tcPr>
            <w:tcW w:type="dxa" w:w="1238"/>
            <w:tcBorders>
              <w:top w:val="single" w:color="B8C4D6" w:sz="4"/>
              <w:left w:val="single" w:color="B8C4D6" w:sz="4"/>
              <w:bottom w:val="single" w:color="B8C4D6" w:sz="4"/>
              <w:right w:val="single" w:color="B8C4D6" w:sz="4"/>
            </w:tcBorders>
            <w:shd w:fill="E3F4E3"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Article 9 : information des participants</w:t>
            </w:r>
          </w:p>
        </w:tc>
        <w:tc>
          <w:tcPr>
            <w:tcW w:type="dxa" w:w="1000"/>
            <w:tcBorders>
              <w:top w:val="single" w:color="B8C4D6" w:sz="4"/>
              <w:left w:val="single" w:color="B8C4D6" w:sz="4"/>
              <w:bottom w:val="single" w:color="B8C4D6" w:sz="4"/>
              <w:right w:val="single" w:color="B8C4D6" w:sz="4"/>
            </w:tcBorders>
            <w:shd w:fill="E3F4E3" w:color="auto" w:val="clear"/>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[date]</w:t>
            </w:r>
          </w:p>
        </w:tc>
      </w:tr>
      <w:tr>
        <w:trPr>
          <w:tblHeader w:val="false"/>
        </w:trPr>
        <w:tc>
          <w:tcPr>
            <w:tcW w:type="dxa" w:w="1500"/>
            <w:tcBorders>
              <w:top w:val="single" w:color="B8C4D6" w:sz="4"/>
              <w:left w:val="single" w:color="B8C4D6" w:sz="4"/>
              <w:bottom w:val="single" w:color="B8C4D6" w:sz="4"/>
              <w:right w:val="single" w:color="B8C4D6" w:sz="4"/>
            </w:tcBorders>
            <w:shd w:fill="FFE9CC" w:color="auto" w:val="clear"/>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[Outil grand public, version gratuite]</w:t>
            </w:r>
          </w:p>
        </w:tc>
        <w:tc>
          <w:tcPr>
            <w:tcW w:type="dxa" w:w="1000"/>
            <w:tcBorders>
              <w:top w:val="single" w:color="B8C4D6" w:sz="4"/>
              <w:left w:val="single" w:color="B8C4D6" w:sz="4"/>
              <w:bottom w:val="single" w:color="B8C4D6" w:sz="4"/>
              <w:right w:val="single" w:color="B8C4D6" w:sz="4"/>
            </w:tcBorders>
            <w:shd w:fill="FFE9CC"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Toléré</w:t>
            </w:r>
          </w:p>
        </w:tc>
        <w:tc>
          <w:tcPr>
            <w:tcW w:type="dxa" w:w="1200"/>
            <w:tcBorders>
              <w:top w:val="single" w:color="B8C4D6" w:sz="4"/>
              <w:left w:val="single" w:color="B8C4D6" w:sz="4"/>
              <w:bottom w:val="single" w:color="B8C4D6" w:sz="4"/>
              <w:right w:val="single" w:color="B8C4D6" w:sz="4"/>
            </w:tcBorders>
            <w:shd w:fill="FFE9CC" w:color="auto" w:val="clear"/>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[date]</w:t>
            </w:r>
            <w:r>
              <w:rPr>
                <w:rFonts w:ascii="Calibri" w:cs="Calibri" w:eastAsia="Calibri" w:hAnsi="Calibri"/>
                <w:sz w:val="20"/>
                <w:szCs w:val="20"/>
              </w:rPr>
              <w:t xml:space="preserve"> / </w:t>
            </w:r>
            <w:r>
              <w:rPr>
                <w:rFonts w:ascii="Calibri" w:cs="Calibri" w:eastAsia="Calibri" w:hAnsi="Calibri"/>
                <w:sz w:val="20"/>
                <w:szCs w:val="20"/>
                <w:shd w:fill="FFF2A8" w:color="auto" w:val="clear"/>
              </w:rPr>
              <w:t xml:space="preserve">[référent]</w:t>
            </w:r>
          </w:p>
        </w:tc>
        <w:tc>
          <w:tcPr>
            <w:tcW w:type="dxa" w:w="1300"/>
            <w:tcBorders>
              <w:top w:val="single" w:color="B8C4D6" w:sz="4"/>
              <w:left w:val="single" w:color="B8C4D6" w:sz="4"/>
              <w:bottom w:val="single" w:color="B8C4D6" w:sz="4"/>
              <w:right w:val="single" w:color="B8C4D6" w:sz="4"/>
            </w:tcBorders>
            <w:shd w:fill="FFE9CC"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Vert uniquement</w:t>
            </w:r>
          </w:p>
        </w:tc>
        <w:tc>
          <w:tcPr>
            <w:tcW w:type="dxa" w:w="2400"/>
            <w:tcBorders>
              <w:top w:val="single" w:color="B8C4D6" w:sz="4"/>
              <w:left w:val="single" w:color="B8C4D6" w:sz="4"/>
              <w:bottom w:val="single" w:color="B8C4D6" w:sz="4"/>
              <w:right w:val="single" w:color="B8C4D6" w:sz="4"/>
            </w:tcBorders>
            <w:shd w:fill="FFE9CC"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Aucune garantie contractuelle ; conversations réutilisables par l'éditeur</w:t>
            </w:r>
          </w:p>
        </w:tc>
        <w:tc>
          <w:tcPr>
            <w:tcW w:type="dxa" w:w="1238"/>
            <w:tcBorders>
              <w:top w:val="single" w:color="B8C4D6" w:sz="4"/>
              <w:left w:val="single" w:color="B8C4D6" w:sz="4"/>
              <w:bottom w:val="single" w:color="B8C4D6" w:sz="4"/>
              <w:right w:val="single" w:color="B8C4D6" w:sz="4"/>
            </w:tcBorders>
            <w:shd w:fill="FFE9CC"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Compte pro dédié ; entraînement et historique désactivés</w:t>
            </w:r>
          </w:p>
        </w:tc>
        <w:tc>
          <w:tcPr>
            <w:tcW w:type="dxa" w:w="1000"/>
            <w:tcBorders>
              <w:top w:val="single" w:color="B8C4D6" w:sz="4"/>
              <w:left w:val="single" w:color="B8C4D6" w:sz="4"/>
              <w:bottom w:val="single" w:color="B8C4D6" w:sz="4"/>
              <w:right w:val="single" w:color="B8C4D6" w:sz="4"/>
            </w:tcBorders>
            <w:shd w:fill="FFE9CC" w:color="auto" w:val="clear"/>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[date]</w:t>
            </w:r>
          </w:p>
        </w:tc>
      </w:tr>
      <w:tr>
        <w:trPr>
          <w:tblHeader w:val="false"/>
        </w:trPr>
        <w:tc>
          <w:tcPr>
            <w:tcW w:type="dxa" w:w="1500"/>
            <w:tcBorders>
              <w:top w:val="single" w:color="B8C4D6" w:sz="4"/>
              <w:left w:val="single" w:color="B8C4D6" w:sz="4"/>
              <w:bottom w:val="single" w:color="B8C4D6" w:sz="4"/>
              <w:right w:val="single" w:color="B8C4D6" w:sz="4"/>
            </w:tcBorders>
            <w:shd w:fill="F9DCDC" w:color="auto" w:val="clear"/>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[Outil]</w:t>
            </w:r>
          </w:p>
        </w:tc>
        <w:tc>
          <w:tcPr>
            <w:tcW w:type="dxa" w:w="1000"/>
            <w:tcBorders>
              <w:top w:val="single" w:color="B8C4D6" w:sz="4"/>
              <w:left w:val="single" w:color="B8C4D6" w:sz="4"/>
              <w:bottom w:val="single" w:color="B8C4D6" w:sz="4"/>
              <w:right w:val="single" w:color="B8C4D6" w:sz="4"/>
            </w:tcBorders>
            <w:shd w:fill="F9DCDC"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Interdit</w:t>
            </w:r>
          </w:p>
        </w:tc>
        <w:tc>
          <w:tcPr>
            <w:tcW w:type="dxa" w:w="1200"/>
            <w:tcBorders>
              <w:top w:val="single" w:color="B8C4D6" w:sz="4"/>
              <w:left w:val="single" w:color="B8C4D6" w:sz="4"/>
              <w:bottom w:val="single" w:color="B8C4D6" w:sz="4"/>
              <w:right w:val="single" w:color="B8C4D6" w:sz="4"/>
            </w:tcBorders>
            <w:shd w:fill="F9DCDC" w:color="auto" w:val="clear"/>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[date]</w:t>
            </w:r>
            <w:r>
              <w:rPr>
                <w:rFonts w:ascii="Calibri" w:cs="Calibri" w:eastAsia="Calibri" w:hAnsi="Calibri"/>
                <w:sz w:val="20"/>
                <w:szCs w:val="20"/>
              </w:rPr>
              <w:t xml:space="preserve"> / </w:t>
            </w:r>
            <w:r>
              <w:rPr>
                <w:rFonts w:ascii="Calibri" w:cs="Calibri" w:eastAsia="Calibri" w:hAnsi="Calibri"/>
                <w:sz w:val="20"/>
                <w:szCs w:val="20"/>
                <w:shd w:fill="FFF2A8" w:color="auto" w:val="clear"/>
              </w:rPr>
              <w:t xml:space="preserve">[référent]</w:t>
            </w:r>
          </w:p>
        </w:tc>
        <w:tc>
          <w:tcPr>
            <w:tcW w:type="dxa" w:w="1300"/>
            <w:tcBorders>
              <w:top w:val="single" w:color="B8C4D6" w:sz="4"/>
              <w:left w:val="single" w:color="B8C4D6" w:sz="4"/>
              <w:bottom w:val="single" w:color="B8C4D6" w:sz="4"/>
              <w:right w:val="single" w:color="B8C4D6" w:sz="4"/>
            </w:tcBorders>
            <w:shd w:fill="F9DCDC"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Aucun</w:t>
            </w:r>
          </w:p>
        </w:tc>
        <w:tc>
          <w:tcPr>
            <w:tcW w:type="dxa" w:w="2400"/>
            <w:tcBorders>
              <w:top w:val="single" w:color="B8C4D6" w:sz="4"/>
              <w:left w:val="single" w:color="B8C4D6" w:sz="4"/>
              <w:bottom w:val="single" w:color="B8C4D6" w:sz="4"/>
              <w:right w:val="single" w:color="B8C4D6" w:sz="4"/>
            </w:tcBorders>
            <w:shd w:fill="F9DCDC" w:color="auto" w:val="clear"/>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[Hébergement inconnu / CGU inacceptables / éditeur soumis à une législation extraterritoriale]</w:t>
            </w:r>
          </w:p>
        </w:tc>
        <w:tc>
          <w:tcPr>
            <w:tcW w:type="dxa" w:w="1238"/>
            <w:tcBorders>
              <w:top w:val="single" w:color="B8C4D6" w:sz="4"/>
              <w:left w:val="single" w:color="B8C4D6" w:sz="4"/>
              <w:bottom w:val="single" w:color="B8C4D6" w:sz="4"/>
              <w:right w:val="single" w:color="B8C4D6" w:sz="4"/>
            </w:tcBorders>
            <w:shd w:fill="F9DCDC" w:color="auto" w:val="clear"/>
            <w:tcMar>
              <w:top w:type="dxa" w:w="80"/>
              <w:left w:type="dxa" w:w="100"/>
              <w:bottom w:type="dxa" w:w="80"/>
              <w:right w:type="dxa" w:w="100"/>
            </w:tcMar>
          </w:tcPr>
          <w:p>
            <w:pPr>
              <w:spacing w:after="40" w:line="260"/>
            </w:pPr>
          </w:p>
        </w:tc>
        <w:tc>
          <w:tcPr>
            <w:tcW w:type="dxa" w:w="1000"/>
            <w:tcBorders>
              <w:top w:val="single" w:color="B8C4D6" w:sz="4"/>
              <w:left w:val="single" w:color="B8C4D6" w:sz="4"/>
              <w:bottom w:val="single" w:color="B8C4D6" w:sz="4"/>
              <w:right w:val="single" w:color="B8C4D6" w:sz="4"/>
            </w:tcBorders>
            <w:shd w:fill="F9DCDC" w:color="auto" w:val="clear"/>
            <w:tcMar>
              <w:top w:type="dxa" w:w="80"/>
              <w:left w:type="dxa" w:w="100"/>
              <w:bottom w:type="dxa" w:w="80"/>
              <w:right w:type="dxa" w:w="100"/>
            </w:tcMar>
          </w:tcPr>
          <w:p>
            <w:pPr>
              <w:spacing w:after="40" w:line="260"/>
            </w:pPr>
          </w:p>
        </w:tc>
      </w:tr>
      <w:tr>
        <w:trPr>
          <w:tblHeader w:val="false"/>
        </w:trPr>
        <w:tc>
          <w:tcPr>
            <w:tcW w:type="dxa" w:w="1500"/>
            <w:tcBorders>
              <w:top w:val="single" w:color="B8C4D6" w:sz="4"/>
              <w:left w:val="single" w:color="B8C4D6" w:sz="4"/>
              <w:bottom w:val="single" w:color="B8C4D6" w:sz="4"/>
              <w:right w:val="single" w:color="B8C4D6" w:sz="4"/>
            </w:tcBorders>
            <w:shd w:fill="F9DCDC"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Tout outil via compte personnel</w:t>
            </w:r>
          </w:p>
        </w:tc>
        <w:tc>
          <w:tcPr>
            <w:tcW w:type="dxa" w:w="1000"/>
            <w:tcBorders>
              <w:top w:val="single" w:color="B8C4D6" w:sz="4"/>
              <w:left w:val="single" w:color="B8C4D6" w:sz="4"/>
              <w:bottom w:val="single" w:color="B8C4D6" w:sz="4"/>
              <w:right w:val="single" w:color="B8C4D6" w:sz="4"/>
            </w:tcBorders>
            <w:shd w:fill="F9DCDC"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Interdit</w:t>
            </w:r>
          </w:p>
        </w:tc>
        <w:tc>
          <w:tcPr>
            <w:tcW w:type="dxa" w:w="1200"/>
            <w:tcBorders>
              <w:top w:val="single" w:color="B8C4D6" w:sz="4"/>
              <w:left w:val="single" w:color="B8C4D6" w:sz="4"/>
              <w:bottom w:val="single" w:color="B8C4D6" w:sz="4"/>
              <w:right w:val="single" w:color="B8C4D6" w:sz="4"/>
            </w:tcBorders>
            <w:shd w:fill="F9DCDC" w:color="auto" w:val="clear"/>
            <w:tcMar>
              <w:top w:type="dxa" w:w="80"/>
              <w:left w:type="dxa" w:w="100"/>
              <w:bottom w:type="dxa" w:w="80"/>
              <w:right w:type="dxa" w:w="100"/>
            </w:tcMar>
          </w:tcPr>
          <w:p>
            <w:pPr>
              <w:spacing w:after="40" w:line="260"/>
            </w:pPr>
          </w:p>
        </w:tc>
        <w:tc>
          <w:tcPr>
            <w:tcW w:type="dxa" w:w="1300"/>
            <w:tcBorders>
              <w:top w:val="single" w:color="B8C4D6" w:sz="4"/>
              <w:left w:val="single" w:color="B8C4D6" w:sz="4"/>
              <w:bottom w:val="single" w:color="B8C4D6" w:sz="4"/>
              <w:right w:val="single" w:color="B8C4D6" w:sz="4"/>
            </w:tcBorders>
            <w:shd w:fill="F9DCDC"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Aucun</w:t>
            </w:r>
          </w:p>
        </w:tc>
        <w:tc>
          <w:tcPr>
            <w:tcW w:type="dxa" w:w="2400"/>
            <w:tcBorders>
              <w:top w:val="single" w:color="B8C4D6" w:sz="4"/>
              <w:left w:val="single" w:color="B8C4D6" w:sz="4"/>
              <w:bottom w:val="single" w:color="B8C4D6" w:sz="4"/>
              <w:right w:val="single" w:color="B8C4D6" w:sz="4"/>
            </w:tcBorders>
            <w:shd w:fill="F9DCDC"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Article 3.2</w:t>
            </w:r>
          </w:p>
        </w:tc>
        <w:tc>
          <w:tcPr>
            <w:tcW w:type="dxa" w:w="1238"/>
            <w:tcBorders>
              <w:top w:val="single" w:color="B8C4D6" w:sz="4"/>
              <w:left w:val="single" w:color="B8C4D6" w:sz="4"/>
              <w:bottom w:val="single" w:color="B8C4D6" w:sz="4"/>
              <w:right w:val="single" w:color="B8C4D6" w:sz="4"/>
            </w:tcBorders>
            <w:shd w:fill="F9DCDC" w:color="auto" w:val="clear"/>
            <w:tcMar>
              <w:top w:type="dxa" w:w="80"/>
              <w:left w:type="dxa" w:w="100"/>
              <w:bottom w:type="dxa" w:w="80"/>
              <w:right w:type="dxa" w:w="100"/>
            </w:tcMar>
          </w:tcPr>
          <w:p>
            <w:pPr>
              <w:spacing w:after="40" w:line="260"/>
            </w:pPr>
          </w:p>
        </w:tc>
        <w:tc>
          <w:tcPr>
            <w:tcW w:type="dxa" w:w="1000"/>
            <w:tcBorders>
              <w:top w:val="single" w:color="B8C4D6" w:sz="4"/>
              <w:left w:val="single" w:color="B8C4D6" w:sz="4"/>
              <w:bottom w:val="single" w:color="B8C4D6" w:sz="4"/>
              <w:right w:val="single" w:color="B8C4D6" w:sz="4"/>
            </w:tcBorders>
            <w:shd w:fill="F9DCDC" w:color="auto" w:val="clear"/>
            <w:tcMar>
              <w:top w:type="dxa" w:w="80"/>
              <w:left w:type="dxa" w:w="100"/>
              <w:bottom w:type="dxa" w:w="80"/>
              <w:right w:type="dxa" w:w="100"/>
            </w:tcMar>
          </w:tcPr>
          <w:p>
            <w:pPr>
              <w:spacing w:after="40" w:line="260"/>
            </w:pPr>
          </w:p>
        </w:tc>
      </w:tr>
      <w:tr>
        <w:trPr>
          <w:tblHeader w:val="false"/>
        </w:trPr>
        <w:tc>
          <w:tcPr>
            <w:tcW w:type="dxa" w:w="1500"/>
            <w:tcBorders>
              <w:top w:val="single" w:color="B8C4D6" w:sz="4"/>
              <w:left w:val="single" w:color="B8C4D6" w:sz="4"/>
              <w:bottom w:val="single" w:color="B8C4D6" w:sz="4"/>
              <w:right w:val="single" w:color="B8C4D6" w:sz="4"/>
            </w:tcBorders>
            <w:shd w:fill="EEF1F5" w:color="auto" w:val="clear"/>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[Extension de navigateur IA]</w:t>
            </w:r>
          </w:p>
        </w:tc>
        <w:tc>
          <w:tcPr>
            <w:tcW w:type="dxa" w:w="1000"/>
            <w:tcBorders>
              <w:top w:val="single" w:color="B8C4D6" w:sz="4"/>
              <w:left w:val="single" w:color="B8C4D6" w:sz="4"/>
              <w:bottom w:val="single" w:color="B8C4D6" w:sz="4"/>
              <w:right w:val="single" w:color="B8C4D6" w:sz="4"/>
            </w:tcBorders>
            <w:shd w:fill="EEF1F5" w:color="auto" w:val="clear"/>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[À évaluer]</w:t>
            </w:r>
          </w:p>
        </w:tc>
        <w:tc>
          <w:tcPr>
            <w:tcW w:type="dxa" w:w="1200"/>
            <w:tcBorders>
              <w:top w:val="single" w:color="B8C4D6" w:sz="4"/>
              <w:left w:val="single" w:color="B8C4D6" w:sz="4"/>
              <w:bottom w:val="single" w:color="B8C4D6" w:sz="4"/>
              <w:right w:val="single" w:color="B8C4D6" w:sz="4"/>
            </w:tcBorders>
            <w:shd w:fill="EEF1F5" w:color="auto" w:val="clear"/>
            <w:tcMar>
              <w:top w:type="dxa" w:w="80"/>
              <w:left w:type="dxa" w:w="100"/>
              <w:bottom w:type="dxa" w:w="80"/>
              <w:right w:type="dxa" w:w="100"/>
            </w:tcMar>
          </w:tcPr>
          <w:p>
            <w:pPr>
              <w:spacing w:after="40" w:line="260"/>
            </w:pPr>
          </w:p>
        </w:tc>
        <w:tc>
          <w:tcPr>
            <w:tcW w:type="dxa" w:w="1300"/>
            <w:tcBorders>
              <w:top w:val="single" w:color="B8C4D6" w:sz="4"/>
              <w:left w:val="single" w:color="B8C4D6" w:sz="4"/>
              <w:bottom w:val="single" w:color="B8C4D6" w:sz="4"/>
              <w:right w:val="single" w:color="B8C4D6" w:sz="4"/>
            </w:tcBorders>
            <w:shd w:fill="EEF1F5" w:color="auto" w:val="clear"/>
            <w:tcMar>
              <w:top w:type="dxa" w:w="80"/>
              <w:left w:type="dxa" w:w="100"/>
              <w:bottom w:type="dxa" w:w="80"/>
              <w:right w:type="dxa" w:w="100"/>
            </w:tcMar>
          </w:tcPr>
          <w:p>
            <w:pPr>
              <w:spacing w:after="40" w:line="260"/>
            </w:pPr>
          </w:p>
        </w:tc>
        <w:tc>
          <w:tcPr>
            <w:tcW w:type="dxa" w:w="2400"/>
            <w:tcBorders>
              <w:top w:val="single" w:color="B8C4D6" w:sz="4"/>
              <w:left w:val="single" w:color="B8C4D6" w:sz="4"/>
              <w:bottom w:val="single" w:color="B8C4D6" w:sz="4"/>
              <w:right w:val="single" w:color="B8C4D6" w:sz="4"/>
            </w:tcBorders>
            <w:shd w:fill="EEF1F5" w:color="auto" w:val="clear"/>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[Droits demandés : lecture de toutes les pages]</w:t>
            </w:r>
          </w:p>
        </w:tc>
        <w:tc>
          <w:tcPr>
            <w:tcW w:type="dxa" w:w="1238"/>
            <w:tcBorders>
              <w:top w:val="single" w:color="B8C4D6" w:sz="4"/>
              <w:left w:val="single" w:color="B8C4D6" w:sz="4"/>
              <w:bottom w:val="single" w:color="B8C4D6" w:sz="4"/>
              <w:right w:val="single" w:color="B8C4D6" w:sz="4"/>
            </w:tcBorders>
            <w:shd w:fill="EEF1F5"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Article 8</w:t>
            </w:r>
          </w:p>
        </w:tc>
        <w:tc>
          <w:tcPr>
            <w:tcW w:type="dxa" w:w="1000"/>
            <w:tcBorders>
              <w:top w:val="single" w:color="B8C4D6" w:sz="4"/>
              <w:left w:val="single" w:color="B8C4D6" w:sz="4"/>
              <w:bottom w:val="single" w:color="B8C4D6" w:sz="4"/>
              <w:right w:val="single" w:color="B8C4D6" w:sz="4"/>
            </w:tcBorders>
            <w:shd w:fill="EEF1F5" w:color="auto" w:val="clear"/>
            <w:tcMar>
              <w:top w:type="dxa" w:w="80"/>
              <w:left w:type="dxa" w:w="100"/>
              <w:bottom w:type="dxa" w:w="80"/>
              <w:right w:type="dxa" w:w="100"/>
            </w:tcMar>
          </w:tcPr>
          <w:p>
            <w:pPr>
              <w:spacing w:after="40" w:line="260"/>
            </w:pPr>
          </w:p>
        </w:tc>
      </w:tr>
      <w:tr>
        <w:trPr>
          <w:tblHeader w:val="false"/>
        </w:trPr>
        <w:tc>
          <w:tcPr>
            <w:tcW w:type="dxa" w:w="1500"/>
            <w:tcBorders>
              <w:top w:val="single" w:color="B8C4D6" w:sz="4"/>
              <w:left w:val="single" w:color="B8C4D6" w:sz="4"/>
              <w:bottom w:val="single" w:color="B8C4D6" w:sz="4"/>
              <w:right w:val="single" w:color="B8C4D6" w:sz="4"/>
            </w:tcBorders>
            <w:shd w:fill="EEF1F5" w:color="auto" w:val="clear"/>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[Agent connecté à la messagerie]</w:t>
            </w:r>
          </w:p>
        </w:tc>
        <w:tc>
          <w:tcPr>
            <w:tcW w:type="dxa" w:w="1000"/>
            <w:tcBorders>
              <w:top w:val="single" w:color="B8C4D6" w:sz="4"/>
              <w:left w:val="single" w:color="B8C4D6" w:sz="4"/>
              <w:bottom w:val="single" w:color="B8C4D6" w:sz="4"/>
              <w:right w:val="single" w:color="B8C4D6" w:sz="4"/>
            </w:tcBorders>
            <w:shd w:fill="EEF1F5" w:color="auto" w:val="clear"/>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[À évaluer]</w:t>
            </w:r>
          </w:p>
        </w:tc>
        <w:tc>
          <w:tcPr>
            <w:tcW w:type="dxa" w:w="1200"/>
            <w:tcBorders>
              <w:top w:val="single" w:color="B8C4D6" w:sz="4"/>
              <w:left w:val="single" w:color="B8C4D6" w:sz="4"/>
              <w:bottom w:val="single" w:color="B8C4D6" w:sz="4"/>
              <w:right w:val="single" w:color="B8C4D6" w:sz="4"/>
            </w:tcBorders>
            <w:shd w:fill="EEF1F5" w:color="auto" w:val="clear"/>
            <w:tcMar>
              <w:top w:type="dxa" w:w="80"/>
              <w:left w:type="dxa" w:w="100"/>
              <w:bottom w:type="dxa" w:w="80"/>
              <w:right w:type="dxa" w:w="100"/>
            </w:tcMar>
          </w:tcPr>
          <w:p>
            <w:pPr>
              <w:spacing w:after="40" w:line="260"/>
            </w:pPr>
          </w:p>
        </w:tc>
        <w:tc>
          <w:tcPr>
            <w:tcW w:type="dxa" w:w="1300"/>
            <w:tcBorders>
              <w:top w:val="single" w:color="B8C4D6" w:sz="4"/>
              <w:left w:val="single" w:color="B8C4D6" w:sz="4"/>
              <w:bottom w:val="single" w:color="B8C4D6" w:sz="4"/>
              <w:right w:val="single" w:color="B8C4D6" w:sz="4"/>
            </w:tcBorders>
            <w:shd w:fill="EEF1F5" w:color="auto" w:val="clear"/>
            <w:tcMar>
              <w:top w:type="dxa" w:w="80"/>
              <w:left w:type="dxa" w:w="100"/>
              <w:bottom w:type="dxa" w:w="80"/>
              <w:right w:type="dxa" w:w="100"/>
            </w:tcMar>
          </w:tcPr>
          <w:p>
            <w:pPr>
              <w:spacing w:after="40" w:line="260"/>
            </w:pPr>
          </w:p>
        </w:tc>
        <w:tc>
          <w:tcPr>
            <w:tcW w:type="dxa" w:w="2400"/>
            <w:tcBorders>
              <w:top w:val="single" w:color="B8C4D6" w:sz="4"/>
              <w:left w:val="single" w:color="B8C4D6" w:sz="4"/>
              <w:bottom w:val="single" w:color="B8C4D6" w:sz="4"/>
              <w:right w:val="single" w:color="B8C4D6" w:sz="4"/>
            </w:tcBorders>
            <w:shd w:fill="EEF1F5" w:color="auto" w:val="clear"/>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[Environnement de test uniquement]</w:t>
            </w:r>
          </w:p>
        </w:tc>
        <w:tc>
          <w:tcPr>
            <w:tcW w:type="dxa" w:w="1238"/>
            <w:tcBorders>
              <w:top w:val="single" w:color="B8C4D6" w:sz="4"/>
              <w:left w:val="single" w:color="B8C4D6" w:sz="4"/>
              <w:bottom w:val="single" w:color="B8C4D6" w:sz="4"/>
              <w:right w:val="single" w:color="B8C4D6" w:sz="4"/>
            </w:tcBorders>
            <w:shd w:fill="EEF1F5" w:color="auto" w:val="clear"/>
            <w:tcMar>
              <w:top w:type="dxa" w:w="80"/>
              <w:left w:type="dxa" w:w="100"/>
              <w:bottom w:type="dxa" w:w="80"/>
              <w:right w:type="dxa" w:w="100"/>
            </w:tcMar>
          </w:tcPr>
          <w:p>
            <w:pPr>
              <w:spacing w:after="40" w:line="260"/>
            </w:pPr>
            <w:r>
              <w:rPr>
                <w:rFonts w:ascii="Calibri" w:cs="Calibri" w:eastAsia="Calibri" w:hAnsi="Calibri"/>
                <w:sz w:val="20"/>
                <w:szCs w:val="20"/>
              </w:rPr>
              <w:t xml:space="preserve">Article 8</w:t>
            </w:r>
          </w:p>
        </w:tc>
        <w:tc>
          <w:tcPr>
            <w:tcW w:type="dxa" w:w="1000"/>
            <w:tcBorders>
              <w:top w:val="single" w:color="B8C4D6" w:sz="4"/>
              <w:left w:val="single" w:color="B8C4D6" w:sz="4"/>
              <w:bottom w:val="single" w:color="B8C4D6" w:sz="4"/>
              <w:right w:val="single" w:color="B8C4D6" w:sz="4"/>
            </w:tcBorders>
            <w:shd w:fill="EEF1F5" w:color="auto" w:val="clear"/>
            <w:tcMar>
              <w:top w:type="dxa" w:w="80"/>
              <w:left w:type="dxa" w:w="100"/>
              <w:bottom w:type="dxa" w:w="80"/>
              <w:right w:type="dxa" w:w="100"/>
            </w:tcMar>
          </w:tcPr>
          <w:p>
            <w:pPr>
              <w:spacing w:after="40" w:line="260"/>
            </w:pPr>
          </w:p>
        </w:tc>
      </w:tr>
      <w:tr>
        <w:trPr>
          <w:tblHeader w:val="false"/>
        </w:trPr>
        <w:tc>
          <w:tcPr>
            <w:tcW w:type="dxa" w:w="1500"/>
            <w:tcBorders>
              <w:top w:val="single" w:color="B8C4D6" w:sz="4"/>
              <w:left w:val="single" w:color="B8C4D6" w:sz="4"/>
              <w:bottom w:val="single" w:color="B8C4D6" w:sz="4"/>
              <w:right w:val="single" w:color="B8C4D6" w:sz="4"/>
            </w:tcBorders>
            <w:shd w:fill="EEF1F5" w:color="auto" w:val="clear"/>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[Fonction IA d'un logiciel métier existant]</w:t>
            </w:r>
          </w:p>
        </w:tc>
        <w:tc>
          <w:tcPr>
            <w:tcW w:type="dxa" w:w="1000"/>
            <w:tcBorders>
              <w:top w:val="single" w:color="B8C4D6" w:sz="4"/>
              <w:left w:val="single" w:color="B8C4D6" w:sz="4"/>
              <w:bottom w:val="single" w:color="B8C4D6" w:sz="4"/>
              <w:right w:val="single" w:color="B8C4D6" w:sz="4"/>
            </w:tcBorders>
            <w:shd w:fill="EEF1F5" w:color="auto" w:val="clear"/>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[À évaluer]</w:t>
            </w:r>
          </w:p>
        </w:tc>
        <w:tc>
          <w:tcPr>
            <w:tcW w:type="dxa" w:w="1200"/>
            <w:tcBorders>
              <w:top w:val="single" w:color="B8C4D6" w:sz="4"/>
              <w:left w:val="single" w:color="B8C4D6" w:sz="4"/>
              <w:bottom w:val="single" w:color="B8C4D6" w:sz="4"/>
              <w:right w:val="single" w:color="B8C4D6" w:sz="4"/>
            </w:tcBorders>
            <w:shd w:fill="EEF1F5" w:color="auto" w:val="clear"/>
            <w:tcMar>
              <w:top w:type="dxa" w:w="80"/>
              <w:left w:type="dxa" w:w="100"/>
              <w:bottom w:type="dxa" w:w="80"/>
              <w:right w:type="dxa" w:w="100"/>
            </w:tcMar>
          </w:tcPr>
          <w:p>
            <w:pPr>
              <w:spacing w:after="40" w:line="260"/>
            </w:pPr>
          </w:p>
        </w:tc>
        <w:tc>
          <w:tcPr>
            <w:tcW w:type="dxa" w:w="1300"/>
            <w:tcBorders>
              <w:top w:val="single" w:color="B8C4D6" w:sz="4"/>
              <w:left w:val="single" w:color="B8C4D6" w:sz="4"/>
              <w:bottom w:val="single" w:color="B8C4D6" w:sz="4"/>
              <w:right w:val="single" w:color="B8C4D6" w:sz="4"/>
            </w:tcBorders>
            <w:shd w:fill="EEF1F5" w:color="auto" w:val="clear"/>
            <w:tcMar>
              <w:top w:type="dxa" w:w="80"/>
              <w:left w:type="dxa" w:w="100"/>
              <w:bottom w:type="dxa" w:w="80"/>
              <w:right w:type="dxa" w:w="100"/>
            </w:tcMar>
          </w:tcPr>
          <w:p>
            <w:pPr>
              <w:spacing w:after="40" w:line="260"/>
            </w:pPr>
          </w:p>
        </w:tc>
        <w:tc>
          <w:tcPr>
            <w:tcW w:type="dxa" w:w="2400"/>
            <w:tcBorders>
              <w:top w:val="single" w:color="B8C4D6" w:sz="4"/>
              <w:left w:val="single" w:color="B8C4D6" w:sz="4"/>
              <w:bottom w:val="single" w:color="B8C4D6" w:sz="4"/>
              <w:right w:val="single" w:color="B8C4D6" w:sz="4"/>
            </w:tcBorders>
            <w:shd w:fill="EEF1F5" w:color="auto" w:val="clear"/>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[Activée par défaut par l'éditeur, en cours d'analyse]</w:t>
            </w:r>
          </w:p>
        </w:tc>
        <w:tc>
          <w:tcPr>
            <w:tcW w:type="dxa" w:w="1238"/>
            <w:tcBorders>
              <w:top w:val="single" w:color="B8C4D6" w:sz="4"/>
              <w:left w:val="single" w:color="B8C4D6" w:sz="4"/>
              <w:bottom w:val="single" w:color="B8C4D6" w:sz="4"/>
              <w:right w:val="single" w:color="B8C4D6" w:sz="4"/>
            </w:tcBorders>
            <w:shd w:fill="EEF1F5" w:color="auto" w:val="clear"/>
            <w:tcMar>
              <w:top w:type="dxa" w:w="80"/>
              <w:left w:type="dxa" w:w="100"/>
              <w:bottom w:type="dxa" w:w="80"/>
              <w:right w:type="dxa" w:w="100"/>
            </w:tcMar>
          </w:tcPr>
          <w:p>
            <w:pPr>
              <w:spacing w:after="40" w:line="260"/>
            </w:pPr>
          </w:p>
        </w:tc>
        <w:tc>
          <w:tcPr>
            <w:tcW w:type="dxa" w:w="1000"/>
            <w:tcBorders>
              <w:top w:val="single" w:color="B8C4D6" w:sz="4"/>
              <w:left w:val="single" w:color="B8C4D6" w:sz="4"/>
              <w:bottom w:val="single" w:color="B8C4D6" w:sz="4"/>
              <w:right w:val="single" w:color="B8C4D6" w:sz="4"/>
            </w:tcBorders>
            <w:shd w:fill="EEF1F5" w:color="auto" w:val="clear"/>
            <w:tcMar>
              <w:top w:type="dxa" w:w="80"/>
              <w:left w:type="dxa" w:w="100"/>
              <w:bottom w:type="dxa" w:w="80"/>
              <w:right w:type="dxa" w:w="100"/>
            </w:tcMar>
          </w:tcPr>
          <w:p>
            <w:pPr>
              <w:spacing w:after="40" w:line="260"/>
            </w:pPr>
          </w:p>
        </w:tc>
      </w:tr>
    </w:tbl>
    <w:p>
      <w:pPr>
        <w:spacing w:after="60"/>
      </w:pPr>
      <w:r>
        <w:rPr>
          <w:rFonts w:ascii="Calibri" w:cs="Calibri" w:eastAsia="Calibri" w:hAnsi="Calibri"/>
          <w:sz w:val="22"/>
          <w:szCs w:val="22"/>
        </w:rPr>
        <w:t xml:space="preserve"/>
      </w:r>
    </w:p>
    <w:p>
      <w:pPr>
        <w:pBdr>
          <w:left w:val="single" w:color="B8C4D6" w:sz="12" w:space="8"/>
        </w:pBdr>
        <w:spacing w:after="160" w:line="276"/>
        <w:ind w:left="360"/>
      </w:pPr>
      <w:r>
        <w:rPr>
          <w:rFonts w:ascii="Calibri" w:cs="Calibri" w:eastAsia="Calibri" w:hAnsi="Calibri"/>
          <w:b/>
          <w:bCs/>
          <w:i/>
          <w:iCs/>
          <w:color w:val="666666"/>
          <w:sz w:val="20"/>
          <w:szCs w:val="20"/>
        </w:rPr>
        <w:t xml:space="preserve">Note pour le rédacteur : </w:t>
      </w:r>
      <w:r>
        <w:rPr>
          <w:rFonts w:ascii="Calibri" w:cs="Calibri" w:eastAsia="Calibri" w:hAnsi="Calibri"/>
          <w:i/>
          <w:iCs/>
          <w:color w:val="666666"/>
          <w:sz w:val="20"/>
          <w:szCs w:val="20"/>
        </w:rPr>
        <w:t xml:space="preserve">Questions à poser à un éditeur avant d'approuver un outil (d'après la CNIL et l'ANSSI) : les données saisies servent-elles à entraîner le modèle, et peut-on le désactiver ? Où sont-elles hébergées, combien de temps sont-elles conservées, sont-elles transférées hors UE ? Un contrat de sous-traitance RGPD est-il proposé ? Qui est propriétaire des contenus générés ? Existe-t-il une gestion centralisée des comptes, une authentification forte, un journal des accès ? Quels droits l'outil demande-t-il sur la messagerie, les fichiers, le navigateur ? L'éditeur est-il soumis à une législation étrangère lui imposant de communiquer des données ?</w:t>
      </w:r>
    </w:p>
    <w:p>
      <w:pPr>
        <w:pStyle w:val="Heading1"/>
        <w:spacing w:after="160" w:before="360"/>
      </w:pPr>
      <w:r>
        <w:t xml:space="preserve">Annexe B. Repères réglementaires (à jour au 12 septembre 2026)</w:t>
      </w:r>
    </w:p>
    <w:p>
      <w:pPr>
        <w:pStyle w:val="Heading2"/>
        <w:spacing w:after="120" w:before="240"/>
      </w:pPr>
      <w:r>
        <w:t xml:space="preserve">B.1 Calendrier de l'AI Act</w:t>
      </w:r>
    </w:p>
    <w:p>
      <w:pPr>
        <w:spacing w:after="120" w:line="276"/>
      </w:pPr>
      <w:r>
        <w:rPr>
          <w:rFonts w:ascii="Calibri" w:cs="Calibri" w:eastAsia="Calibri" w:hAnsi="Calibri"/>
          <w:sz w:val="22"/>
          <w:szCs w:val="22"/>
        </w:rPr>
        <w:t xml:space="preserve">Le règlement (UE) 2024/1689 sur l'intelligence artificielle (AI Act) est entré en vigueur le 1er août 2024. Son application est progressive. Le règlement (UE) 2026/1744, dit « Omnibus IA », adopté en juin 2026 et entré en vigueur le 27 juillet 2026, a reporté plusieurs échéances et assoupli certaines obligations. Le calendrier ci-dessous en tient compte.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100"/>
        <w:gridCol w:w="7538"/>
      </w:tblGrid>
      <w:tr>
        <w:trPr>
          <w:tblHeader/>
        </w:trPr>
        <w:tc>
          <w:tcPr>
            <w:tcW w:type="dxa" w:w="2100"/>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Date</w:t>
            </w:r>
          </w:p>
        </w:tc>
        <w:tc>
          <w:tcPr>
            <w:tcW w:type="dxa" w:w="7538"/>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Ce qui s'applique</w:t>
            </w:r>
          </w:p>
        </w:tc>
      </w:tr>
      <w:tr>
        <w:trPr>
          <w:tblHeader w:val="false"/>
        </w:trPr>
        <w:tc>
          <w:tcPr>
            <w:tcW w:type="dxa" w:w="21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2 février 2025</w:t>
            </w:r>
          </w:p>
        </w:tc>
        <w:tc>
          <w:tcPr>
            <w:tcW w:type="dxa" w:w="75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Interdiction des pratiques d'IA inacceptables (article 5) : notation sociale, manipulation subliminale, exploitation des vulnérabilités, reconnaissance des émotions au travail et dans l'éducation, certains usages biométriques. Entrée en application de l'article 4 sur la maîtrise de l'IA.</w:t>
            </w:r>
          </w:p>
        </w:tc>
      </w:tr>
      <w:tr>
        <w:trPr>
          <w:tblHeader w:val="false"/>
        </w:trPr>
        <w:tc>
          <w:tcPr>
            <w:tcW w:type="dxa" w:w="21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2 août 2025</w:t>
            </w:r>
          </w:p>
        </w:tc>
        <w:tc>
          <w:tcPr>
            <w:tcW w:type="dxa" w:w="75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Obligations des fournisseurs de modèles d'IA à usage général (GPAI). Mise en place de la gouvernance européenne (Bureau de l'IA).</w:t>
            </w:r>
          </w:p>
        </w:tc>
      </w:tr>
      <w:tr>
        <w:trPr>
          <w:tblHeader w:val="false"/>
        </w:trPr>
        <w:tc>
          <w:tcPr>
            <w:tcW w:type="dxa" w:w="21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27 juillet 2026</w:t>
            </w:r>
          </w:p>
        </w:tc>
        <w:tc>
          <w:tcPr>
            <w:tcW w:type="dxa" w:w="75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Entrée en vigueur du règlement Omnibus IA. L'article 4 devient une obligation de moyens (« favoriser » la maîtrise de l'IA) sans sanction spécifique. Report des échéances haut risque. Simplifications pour les PME et les petites entreprises à moyenne capitalisation (documentation allégée).</w:t>
            </w:r>
          </w:p>
        </w:tc>
      </w:tr>
      <w:tr>
        <w:trPr>
          <w:tblHeader w:val="false"/>
        </w:trPr>
        <w:tc>
          <w:tcPr>
            <w:tcW w:type="dxa" w:w="21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2 août 2026</w:t>
            </w:r>
          </w:p>
        </w:tc>
        <w:tc>
          <w:tcPr>
            <w:tcW w:type="dxa" w:w="75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Application de l'article 50 (transparence : information des personnes face à un chatbot, signalement des contenus générés et des hypertrucages). Régime de sanctions (article 99) et surveillance du marché pleinement applicables : jusqu'à 35 M€ ou 7 % du chiffre d'affaires mondial pour les pratiques interdites, 15 M€ ou 3 % pour les autres manquements, 7,5 M€ ou 1 % pour la fourniture d'informations inexactes ; pour les PME, c'est le montant le plus bas des deux qui s'applique.</w:t>
            </w:r>
          </w:p>
        </w:tc>
      </w:tr>
      <w:tr>
        <w:trPr>
          <w:tblHeader w:val="false"/>
        </w:trPr>
        <w:tc>
          <w:tcPr>
            <w:tcW w:type="dxa" w:w="21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2 décembre 2026</w:t>
            </w:r>
          </w:p>
        </w:tc>
        <w:tc>
          <w:tcPr>
            <w:tcW w:type="dxa" w:w="75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Fin du délai supplémentaire accordé aux systèmes d'IA générative déjà sur le marché pour le marquage lisible par machine des contenus générés (article 50, paragraphe 2). Entrée en application de nouvelles interdictions (notamment création d'images intimes non consenties).</w:t>
            </w:r>
          </w:p>
        </w:tc>
      </w:tr>
      <w:tr>
        <w:trPr>
          <w:tblHeader w:val="false"/>
        </w:trPr>
        <w:tc>
          <w:tcPr>
            <w:tcW w:type="dxa" w:w="21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2 décembre 2027</w:t>
            </w:r>
          </w:p>
        </w:tc>
        <w:tc>
          <w:tcPr>
            <w:tcW w:type="dxa" w:w="75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Obligations pour les systèmes à haut risque de l'annexe III : recrutement, gestion des travailleurs, éducation, accès aux services essentiels, notation de crédit, entre autres. Un outil de tri de CV ou d'évaluation des salariés entre dans cette catégorie. Pour le déployeur (article 26) : supervision humaine par des personnes formées, conservation des journaux au moins six mois, information préalable des travailleurs et de leurs représentants, déclaration des incidents graves.</w:t>
            </w:r>
          </w:p>
        </w:tc>
      </w:tr>
      <w:tr>
        <w:trPr>
          <w:tblHeader w:val="false"/>
        </w:trPr>
        <w:tc>
          <w:tcPr>
            <w:tcW w:type="dxa" w:w="21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2 août 2028</w:t>
            </w:r>
          </w:p>
        </w:tc>
        <w:tc>
          <w:tcPr>
            <w:tcW w:type="dxa" w:w="75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Obligations pour les systèmes à haut risque intégrés à des produits réglementés (annexe I : machines, dispositifs médicaux, véhicules, jouets, etc.).</w:t>
            </w:r>
          </w:p>
        </w:tc>
      </w:tr>
      <w:tr>
        <w:trPr>
          <w:tblHeader w:val="false"/>
        </w:trPr>
        <w:tc>
          <w:tcPr>
            <w:tcW w:type="dxa" w:w="21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2 août 2030</w:t>
            </w:r>
          </w:p>
        </w:tc>
        <w:tc>
          <w:tcPr>
            <w:tcW w:type="dxa" w:w="75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Conformité des systèmes à haut risque déjà utilisés par les autorités publiques.</w:t>
            </w:r>
          </w:p>
        </w:tc>
      </w:tr>
    </w:tbl>
    <w:p>
      <w:pPr>
        <w:spacing w:after="60"/>
      </w:pPr>
      <w:r>
        <w:rPr>
          <w:rFonts w:ascii="Calibri" w:cs="Calibri" w:eastAsia="Calibri" w:hAnsi="Calibri"/>
          <w:sz w:val="22"/>
          <w:szCs w:val="22"/>
        </w:rPr>
        <w:t xml:space="preserve"/>
      </w:r>
    </w:p>
    <w:p>
      <w:pPr>
        <w:pStyle w:val="Heading2"/>
        <w:spacing w:after="120" w:before="240"/>
      </w:pPr>
      <w:r>
        <w:t xml:space="preserve">B.2 Ce que cela implique pour une entreprise utilisatrice</w:t>
      </w:r>
    </w:p>
    <w:p>
      <w:pPr>
        <w:pStyle w:val="ListParagraph"/>
        <w:numPr>
          <w:ilvl w:val="0"/>
          <w:numId w:val="2"/>
        </w:numPr>
        <w:spacing w:after="60" w:line="276"/>
      </w:pPr>
      <w:r>
        <w:rPr>
          <w:rFonts w:ascii="Calibri" w:cs="Calibri" w:eastAsia="Calibri" w:hAnsi="Calibri"/>
          <w:sz w:val="22"/>
          <w:szCs w:val="22"/>
        </w:rPr>
        <w:t xml:space="preserve">En tant que « déployeur » d'outils d'IA générative, l'entreprise est concernée principalement par l'article 4 (formation, article 10 de la charte) et l'article 50 (transparence, article 6 de la charte).</w:t>
      </w:r>
    </w:p>
    <w:p>
      <w:pPr>
        <w:pStyle w:val="ListParagraph"/>
        <w:numPr>
          <w:ilvl w:val="0"/>
          <w:numId w:val="2"/>
        </w:numPr>
        <w:spacing w:after="60" w:line="276"/>
      </w:pPr>
      <w:r>
        <w:rPr>
          <w:rFonts w:ascii="Calibri" w:cs="Calibri" w:eastAsia="Calibri" w:hAnsi="Calibri"/>
          <w:sz w:val="22"/>
          <w:szCs w:val="22"/>
        </w:rPr>
        <w:t xml:space="preserve">Dès qu'un outil d'IA intervient dans le recrutement, l'évaluation, la promotion ou le licenciement, il relève potentiellement du haut risque : identifier ces usages dès maintenant (article 12.3) pour anticiper l'échéance de décembre 2027.</w:t>
      </w:r>
    </w:p>
    <w:p>
      <w:pPr>
        <w:pStyle w:val="ListParagraph"/>
        <w:numPr>
          <w:ilvl w:val="0"/>
          <w:numId w:val="2"/>
        </w:numPr>
        <w:spacing w:after="60" w:line="276"/>
      </w:pPr>
      <w:r>
        <w:rPr>
          <w:rFonts w:ascii="Calibri" w:cs="Calibri" w:eastAsia="Calibri" w:hAnsi="Calibri"/>
          <w:sz w:val="22"/>
          <w:szCs w:val="22"/>
        </w:rPr>
        <w:t xml:space="preserve">Le RGPD s'applique indépendamment de l'AI Act à tout traitement de données personnelles par un outil d'IA : base légale, information des personnes, registre des traitements (article 30), contrat de sous-traitance (article 28), analyse d'impact lorsqu'elle est requise (article 35), notification des violations (article 33), interdiction des décisions entièrement automatisées produisant des effets juridiques (article 22). La CNIL a publié des questions-réponses sur l'utilisation d'un système d'IA générative (juillet 2024) et des fiches pour les TPE-PME (mars 2025).</w:t>
      </w:r>
    </w:p>
    <w:p>
      <w:pPr>
        <w:pStyle w:val="ListParagraph"/>
        <w:numPr>
          <w:ilvl w:val="0"/>
          <w:numId w:val="2"/>
        </w:numPr>
        <w:spacing w:after="60" w:line="276"/>
      </w:pPr>
      <w:r>
        <w:rPr>
          <w:rFonts w:ascii="Calibri" w:cs="Calibri" w:eastAsia="Calibri" w:hAnsi="Calibri"/>
          <w:sz w:val="22"/>
          <w:szCs w:val="22"/>
        </w:rPr>
        <w:t xml:space="preserve">Le CSE est informé et consulté avant l'introduction d'outils d'IA ayant un impact sur les conditions de travail (article L2312-8 du code du travail) et avant tout dispositif permettant de contrôler l'activité des salariés (article L2312-38) ; les salariés en sont informés préalablement (article L1222-4). L'introduction de l'IA peut justifier une mise à jour du document unique d'évaluation des risques (article L4121-1).</w:t>
      </w:r>
    </w:p>
    <w:p>
      <w:pPr>
        <w:pStyle w:val="ListParagraph"/>
        <w:numPr>
          <w:ilvl w:val="0"/>
          <w:numId w:val="2"/>
        </w:numPr>
        <w:spacing w:after="60" w:line="276"/>
      </w:pPr>
      <w:r>
        <w:rPr>
          <w:rFonts w:ascii="Calibri" w:cs="Calibri" w:eastAsia="Calibri" w:hAnsi="Calibri"/>
          <w:sz w:val="22"/>
          <w:szCs w:val="22"/>
        </w:rPr>
        <w:t xml:space="preserve">La sécurité des outils d'IA relève des recommandations de l'ANSSI : guide « Recommandations de sécurité pour un système d'IA générative » (avril 2024) et alerte sur les agents IA sur les postes de travail (avril 2026).</w:t>
      </w:r>
    </w:p>
    <w:p>
      <w:pPr>
        <w:pBdr>
          <w:left w:val="single" w:color="B8C4D6" w:sz="12" w:space="8"/>
        </w:pBdr>
        <w:spacing w:after="160" w:line="276"/>
        <w:ind w:left="360"/>
      </w:pPr>
      <w:r>
        <w:rPr>
          <w:rFonts w:ascii="Calibri" w:cs="Calibri" w:eastAsia="Calibri" w:hAnsi="Calibri"/>
          <w:b/>
          <w:bCs/>
          <w:i/>
          <w:iCs/>
          <w:color w:val="666666"/>
          <w:sz w:val="20"/>
          <w:szCs w:val="20"/>
        </w:rPr>
        <w:t xml:space="preserve">Note pour le rédacteur : </w:t>
      </w:r>
      <w:r>
        <w:rPr>
          <w:rFonts w:ascii="Calibri" w:cs="Calibri" w:eastAsia="Calibri" w:hAnsi="Calibri"/>
          <w:i/>
          <w:iCs/>
          <w:color w:val="666666"/>
          <w:sz w:val="20"/>
          <w:szCs w:val="20"/>
        </w:rPr>
        <w:t xml:space="preserve">Ces repères sont donnés à titre d'information et reflètent l'état des textes à la date indiquée. Les actes d'exécution de la Commission, les lignes directrices du Bureau de l'IA et les positions de la CNIL continuent d'évoluer. Vérifiez auprès de votre conseil avant toute décision engageante.</w:t>
      </w:r>
    </w:p>
    <w:p>
      <w:r>
        <w:br w:type="page"/>
      </w:r>
    </w:p>
    <w:p>
      <w:pPr>
        <w:pStyle w:val="Heading1"/>
        <w:spacing w:after="160" w:before="360"/>
      </w:pPr>
      <w:r>
        <w:t xml:space="preserve">Annexe C. Liste de contrôle pour le déploiement de la charte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600"/>
        <w:gridCol w:w="6200"/>
        <w:gridCol w:w="2838"/>
      </w:tblGrid>
      <w:tr>
        <w:trPr>
          <w:tblHeader/>
        </w:trPr>
        <w:tc>
          <w:tcPr>
            <w:tcW w:type="dxa" w:w="600"/>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p>
        </w:tc>
        <w:tc>
          <w:tcPr>
            <w:tcW w:type="dxa" w:w="6200"/>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Étape</w:t>
            </w:r>
          </w:p>
        </w:tc>
        <w:tc>
          <w:tcPr>
            <w:tcW w:type="dxa" w:w="2838"/>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Responsable et date</w:t>
            </w:r>
          </w:p>
        </w:tc>
      </w:tr>
      <w:tr>
        <w:trPr>
          <w:tblHeader w:val="false"/>
        </w:trPr>
        <w:tc>
          <w:tcPr>
            <w:tcW w:type="dxa" w:w="6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w:t>
            </w:r>
          </w:p>
        </w:tc>
        <w:tc>
          <w:tcPr>
            <w:tcW w:type="dxa" w:w="62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Désigner le référent IA et, si nécessaire, le DPO ; associer le responsable informatique.</w:t>
            </w:r>
          </w:p>
        </w:tc>
        <w:tc>
          <w:tcPr>
            <w:tcW w:type="dxa" w:w="28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 ]</w:t>
            </w:r>
          </w:p>
        </w:tc>
      </w:tr>
      <w:tr>
        <w:trPr>
          <w:tblHeader w:val="false"/>
        </w:trPr>
        <w:tc>
          <w:tcPr>
            <w:tcW w:type="dxa" w:w="6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w:t>
            </w:r>
          </w:p>
        </w:tc>
        <w:tc>
          <w:tcPr>
            <w:tcW w:type="dxa" w:w="62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Recenser les outils d'IA réellement utilisés : sondage interne anonyme, revue des licences et abonnements, inventaire des fonctions IA activées dans les logiciels existants, extensions de navigateur.</w:t>
            </w:r>
          </w:p>
        </w:tc>
        <w:tc>
          <w:tcPr>
            <w:tcW w:type="dxa" w:w="28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 ]</w:t>
            </w:r>
          </w:p>
        </w:tc>
      </w:tr>
      <w:tr>
        <w:trPr>
          <w:tblHeader w:val="false"/>
        </w:trPr>
        <w:tc>
          <w:tcPr>
            <w:tcW w:type="dxa" w:w="6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w:t>
            </w:r>
          </w:p>
        </w:tc>
        <w:tc>
          <w:tcPr>
            <w:tcW w:type="dxa" w:w="62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Classer chaque outil (approuvé, toléré, interdit) et remplir l'annexe A avec les garanties vérifiées.</w:t>
            </w:r>
          </w:p>
        </w:tc>
        <w:tc>
          <w:tcPr>
            <w:tcW w:type="dxa" w:w="28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 ]</w:t>
            </w:r>
          </w:p>
        </w:tc>
      </w:tr>
      <w:tr>
        <w:trPr>
          <w:tblHeader w:val="false"/>
        </w:trPr>
        <w:tc>
          <w:tcPr>
            <w:tcW w:type="dxa" w:w="6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w:t>
            </w:r>
          </w:p>
        </w:tc>
        <w:tc>
          <w:tcPr>
            <w:tcW w:type="dxa" w:w="62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Aligner l'article 4 sur la politique de classification des données existante et le registre des traitements RGPD.</w:t>
            </w:r>
          </w:p>
        </w:tc>
        <w:tc>
          <w:tcPr>
            <w:tcW w:type="dxa" w:w="28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 ]</w:t>
            </w:r>
          </w:p>
        </w:tc>
      </w:tr>
      <w:tr>
        <w:trPr>
          <w:tblHeader w:val="false"/>
        </w:trPr>
        <w:tc>
          <w:tcPr>
            <w:tcW w:type="dxa" w:w="6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w:t>
            </w:r>
          </w:p>
        </w:tc>
        <w:tc>
          <w:tcPr>
            <w:tcW w:type="dxa" w:w="62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Adapter les articles 5, 6, 8, 9 et 13 aux métiers et au secteur ; supprimer les articles sans objet.</w:t>
            </w:r>
          </w:p>
        </w:tc>
        <w:tc>
          <w:tcPr>
            <w:tcW w:type="dxa" w:w="28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 ]</w:t>
            </w:r>
          </w:p>
        </w:tc>
      </w:tr>
      <w:tr>
        <w:trPr>
          <w:tblHeader w:val="false"/>
        </w:trPr>
        <w:tc>
          <w:tcPr>
            <w:tcW w:type="dxa" w:w="6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w:t>
            </w:r>
          </w:p>
        </w:tc>
        <w:tc>
          <w:tcPr>
            <w:tcW w:type="dxa" w:w="62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Faire relire la charte par le conseil juridique ou le DPO.</w:t>
            </w:r>
          </w:p>
        </w:tc>
        <w:tc>
          <w:tcPr>
            <w:tcW w:type="dxa" w:w="28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 ]</w:t>
            </w:r>
          </w:p>
        </w:tc>
      </w:tr>
      <w:tr>
        <w:trPr>
          <w:tblHeader w:val="false"/>
        </w:trPr>
        <w:tc>
          <w:tcPr>
            <w:tcW w:type="dxa" w:w="6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w:t>
            </w:r>
          </w:p>
        </w:tc>
        <w:tc>
          <w:tcPr>
            <w:tcW w:type="dxa" w:w="62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Informer et consulter le CSE ; décider du mode d'adoption (adjonction au règlement intérieur ou note de service signée) et accomplir les formalités.</w:t>
            </w:r>
          </w:p>
        </w:tc>
        <w:tc>
          <w:tcPr>
            <w:tcW w:type="dxa" w:w="28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 ]</w:t>
            </w:r>
          </w:p>
        </w:tc>
      </w:tr>
      <w:tr>
        <w:trPr>
          <w:tblHeader w:val="false"/>
        </w:trPr>
        <w:tc>
          <w:tcPr>
            <w:tcW w:type="dxa" w:w="6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w:t>
            </w:r>
          </w:p>
        </w:tc>
        <w:tc>
          <w:tcPr>
            <w:tcW w:type="dxa" w:w="62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Organiser la sensibilisation de tous les collaborateurs concernés (article 10) avec des exemples tirés des métiers de l'entreprise ; conserver les preuves.</w:t>
            </w:r>
          </w:p>
        </w:tc>
        <w:tc>
          <w:tcPr>
            <w:tcW w:type="dxa" w:w="28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 ]</w:t>
            </w:r>
          </w:p>
        </w:tc>
      </w:tr>
      <w:tr>
        <w:trPr>
          <w:tblHeader w:val="false"/>
        </w:trPr>
        <w:tc>
          <w:tcPr>
            <w:tcW w:type="dxa" w:w="6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w:t>
            </w:r>
          </w:p>
        </w:tc>
        <w:tc>
          <w:tcPr>
            <w:tcW w:type="dxa" w:w="62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Diffuser la charte, recueillir les acceptations, archiver.</w:t>
            </w:r>
          </w:p>
        </w:tc>
        <w:tc>
          <w:tcPr>
            <w:tcW w:type="dxa" w:w="28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 ]</w:t>
            </w:r>
          </w:p>
        </w:tc>
      </w:tr>
      <w:tr>
        <w:trPr>
          <w:tblHeader w:val="false"/>
        </w:trPr>
        <w:tc>
          <w:tcPr>
            <w:tcW w:type="dxa" w:w="6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w:t>
            </w:r>
          </w:p>
        </w:tc>
        <w:tc>
          <w:tcPr>
            <w:tcW w:type="dxa" w:w="62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Recenser les usages à enjeu (article 12.3) et identifier ceux qui relèveront du haut risque en décembre 2027.</w:t>
            </w:r>
          </w:p>
        </w:tc>
        <w:tc>
          <w:tcPr>
            <w:tcW w:type="dxa" w:w="28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 ]</w:t>
            </w:r>
          </w:p>
        </w:tc>
      </w:tr>
      <w:tr>
        <w:trPr>
          <w:tblHeader w:val="false"/>
        </w:trPr>
        <w:tc>
          <w:tcPr>
            <w:tcW w:type="dxa" w:w="6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w:t>
            </w:r>
          </w:p>
        </w:tc>
        <w:tc>
          <w:tcPr>
            <w:tcW w:type="dxa" w:w="62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Recueillir l'avis des utilisateurs après trois mois ; ajuster le registre et le guide de bonnes pratiques.</w:t>
            </w:r>
          </w:p>
        </w:tc>
        <w:tc>
          <w:tcPr>
            <w:tcW w:type="dxa" w:w="28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 ]</w:t>
            </w:r>
          </w:p>
        </w:tc>
      </w:tr>
      <w:tr>
        <w:trPr>
          <w:tblHeader w:val="false"/>
        </w:trPr>
        <w:tc>
          <w:tcPr>
            <w:tcW w:type="dxa" w:w="6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w:t>
            </w:r>
          </w:p>
        </w:tc>
        <w:tc>
          <w:tcPr>
            <w:tcW w:type="dxa" w:w="62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rPr>
              <w:t xml:space="preserve">Planifier la première revue (article 14) et le premier comité IA.</w:t>
            </w:r>
          </w:p>
        </w:tc>
        <w:tc>
          <w:tcPr>
            <w:tcW w:type="dxa" w:w="28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 ]</w:t>
            </w:r>
          </w:p>
        </w:tc>
      </w:tr>
    </w:tbl>
    <w:p>
      <w:pPr>
        <w:spacing w:after="60"/>
      </w:pPr>
      <w:r>
        <w:rPr>
          <w:rFonts w:ascii="Calibri" w:cs="Calibri" w:eastAsia="Calibri" w:hAnsi="Calibri"/>
          <w:sz w:val="22"/>
          <w:szCs w:val="22"/>
        </w:rPr>
        <w:t xml:space="preserve"/>
      </w:r>
    </w:p>
    <w:p>
      <w:pPr>
        <w:pStyle w:val="Heading2"/>
        <w:spacing w:after="120" w:before="240"/>
      </w:pPr>
      <w:r>
        <w:t xml:space="preserve">Registre des actions de sensibilisation et de formation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200"/>
        <w:gridCol w:w="3000"/>
        <w:gridCol w:w="1500"/>
        <w:gridCol w:w="1500"/>
        <w:gridCol w:w="1438"/>
      </w:tblGrid>
      <w:tr>
        <w:trPr>
          <w:tblHeader/>
        </w:trPr>
        <w:tc>
          <w:tcPr>
            <w:tcW w:type="dxa" w:w="2200"/>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Date</w:t>
            </w:r>
          </w:p>
        </w:tc>
        <w:tc>
          <w:tcPr>
            <w:tcW w:type="dxa" w:w="3000"/>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Action</w:t>
            </w:r>
          </w:p>
        </w:tc>
        <w:tc>
          <w:tcPr>
            <w:tcW w:type="dxa" w:w="1500"/>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Public</w:t>
            </w:r>
          </w:p>
        </w:tc>
        <w:tc>
          <w:tcPr>
            <w:tcW w:type="dxa" w:w="1500"/>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Participants</w:t>
            </w:r>
          </w:p>
        </w:tc>
        <w:tc>
          <w:tcPr>
            <w:tcW w:type="dxa" w:w="1438"/>
            <w:tcBorders>
              <w:top w:val="single" w:color="B8C4D6" w:sz="4"/>
              <w:left w:val="single" w:color="B8C4D6" w:sz="4"/>
              <w:bottom w:val="single" w:color="B8C4D6" w:sz="4"/>
              <w:right w:val="single" w:color="B8C4D6" w:sz="4"/>
            </w:tcBorders>
            <w:shd w:fill="1F3A5F" w:color="auto" w:val="clear"/>
            <w:tcMar>
              <w:top w:type="dxa" w:w="80"/>
              <w:left w:type="dxa" w:w="100"/>
              <w:bottom w:type="dxa" w:w="80"/>
              <w:right w:type="dxa" w:w="100"/>
            </w:tcMar>
          </w:tcPr>
          <w:p>
            <w:pPr>
              <w:spacing w:after="40" w:line="260"/>
            </w:pPr>
            <w:r>
              <w:rPr>
                <w:rFonts w:ascii="Calibri" w:cs="Calibri" w:eastAsia="Calibri" w:hAnsi="Calibri"/>
                <w:b/>
                <w:bCs/>
                <w:color w:val="FFFFFF"/>
                <w:sz w:val="20"/>
                <w:szCs w:val="20"/>
              </w:rPr>
              <w:t xml:space="preserve">Preuve</w:t>
            </w:r>
          </w:p>
        </w:tc>
      </w:tr>
      <w:tr>
        <w:trPr>
          <w:tblHeader w:val="false"/>
        </w:trPr>
        <w:tc>
          <w:tcPr>
            <w:tcW w:type="dxa" w:w="22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 ]</w:t>
            </w:r>
          </w:p>
        </w:tc>
        <w:tc>
          <w:tcPr>
            <w:tcW w:type="dxa" w:w="30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[Sensibilisation IA générative et charte, 2 h]</w:t>
            </w:r>
          </w:p>
        </w:tc>
        <w:tc>
          <w:tcPr>
            <w:tcW w:type="dxa" w:w="15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[Tous]</w:t>
            </w:r>
          </w:p>
        </w:tc>
        <w:tc>
          <w:tcPr>
            <w:tcW w:type="dxa" w:w="15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 ]</w:t>
            </w:r>
          </w:p>
        </w:tc>
        <w:tc>
          <w:tcPr>
            <w:tcW w:type="dxa" w:w="14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[Émargement]</w:t>
            </w:r>
          </w:p>
        </w:tc>
      </w:tr>
      <w:tr>
        <w:trPr>
          <w:tblHeader w:val="false"/>
        </w:trPr>
        <w:tc>
          <w:tcPr>
            <w:tcW w:type="dxa" w:w="22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 ]</w:t>
            </w:r>
          </w:p>
        </w:tc>
        <w:tc>
          <w:tcPr>
            <w:tcW w:type="dxa" w:w="30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 ]</w:t>
            </w:r>
          </w:p>
        </w:tc>
        <w:tc>
          <w:tcPr>
            <w:tcW w:type="dxa" w:w="15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 ]</w:t>
            </w:r>
          </w:p>
        </w:tc>
        <w:tc>
          <w:tcPr>
            <w:tcW w:type="dxa" w:w="15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 ]</w:t>
            </w:r>
          </w:p>
        </w:tc>
        <w:tc>
          <w:tcPr>
            <w:tcW w:type="dxa" w:w="14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 ]</w:t>
            </w:r>
          </w:p>
        </w:tc>
      </w:tr>
      <w:tr>
        <w:trPr>
          <w:tblHeader w:val="false"/>
        </w:trPr>
        <w:tc>
          <w:tcPr>
            <w:tcW w:type="dxa" w:w="22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 ]</w:t>
            </w:r>
          </w:p>
        </w:tc>
        <w:tc>
          <w:tcPr>
            <w:tcW w:type="dxa" w:w="30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 ]</w:t>
            </w:r>
          </w:p>
        </w:tc>
        <w:tc>
          <w:tcPr>
            <w:tcW w:type="dxa" w:w="15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 ]</w:t>
            </w:r>
          </w:p>
        </w:tc>
        <w:tc>
          <w:tcPr>
            <w:tcW w:type="dxa" w:w="1500"/>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 ]</w:t>
            </w:r>
          </w:p>
        </w:tc>
        <w:tc>
          <w:tcPr>
            <w:tcW w:type="dxa" w:w="1438"/>
            <w:tcBorders>
              <w:top w:val="single" w:color="B8C4D6" w:sz="4"/>
              <w:left w:val="single" w:color="B8C4D6" w:sz="4"/>
              <w:bottom w:val="single" w:color="B8C4D6" w:sz="4"/>
              <w:right w:val="single" w:color="B8C4D6" w:sz="4"/>
            </w:tcBorders>
            <w:tcMar>
              <w:top w:type="dxa" w:w="80"/>
              <w:left w:type="dxa" w:w="100"/>
              <w:bottom w:type="dxa" w:w="80"/>
              <w:right w:type="dxa" w:w="100"/>
            </w:tcMar>
          </w:tcPr>
          <w:p>
            <w:pPr>
              <w:spacing w:after="40" w:line="260"/>
            </w:pPr>
            <w:r>
              <w:rPr>
                <w:rFonts w:ascii="Calibri" w:cs="Calibri" w:eastAsia="Calibri" w:hAnsi="Calibri"/>
                <w:sz w:val="20"/>
                <w:szCs w:val="20"/>
                <w:shd w:fill="FFF2A8" w:color="auto" w:val="clear"/>
              </w:rPr>
              <w:t xml:space="preserve">[ ]</w:t>
            </w:r>
          </w:p>
        </w:tc>
      </w:tr>
    </w:tbl>
    <w:p>
      <w:r>
        <w:br w:type="page"/>
      </w:r>
    </w:p>
    <w:p>
      <w:pPr>
        <w:pStyle w:val="Heading1"/>
        <w:spacing w:after="160" w:before="360"/>
      </w:pPr>
      <w:r>
        <w:t xml:space="preserve">Annexe D. Sources utilisées pour ce modèle</w:t>
      </w:r>
    </w:p>
    <w:p>
      <w:pPr>
        <w:spacing w:after="120" w:line="276"/>
      </w:pPr>
      <w:r>
        <w:rPr>
          <w:rFonts w:ascii="Calibri" w:cs="Calibri" w:eastAsia="Calibri" w:hAnsi="Calibri"/>
          <w:sz w:val="22"/>
          <w:szCs w:val="22"/>
        </w:rPr>
        <w:t xml:space="preserve">Ce modèle a été rédigé en septembre 2026 à partir des documents publics suivants, consultés dans leur version en vigueur à cette date. Ils constituent aussi de bonnes lectures pour le référent IA.</w:t>
      </w:r>
    </w:p>
    <w:p>
      <w:pPr>
        <w:pStyle w:val="ListParagraph"/>
        <w:numPr>
          <w:ilvl w:val="0"/>
          <w:numId w:val="2"/>
        </w:numPr>
        <w:spacing w:after="60" w:line="276"/>
      </w:pPr>
      <w:r>
        <w:rPr>
          <w:rFonts w:ascii="Calibri" w:cs="Calibri" w:eastAsia="Calibri" w:hAnsi="Calibri"/>
          <w:b/>
          <w:bCs/>
          <w:sz w:val="22"/>
          <w:szCs w:val="22"/>
        </w:rPr>
        <w:t xml:space="preserve">DINUM, DITP, DGAFP. </w:t>
      </w:r>
      <w:r>
        <w:rPr>
          <w:rFonts w:ascii="Calibri" w:cs="Calibri" w:eastAsia="Calibri" w:hAnsi="Calibri"/>
          <w:sz w:val="22"/>
          <w:szCs w:val="22"/>
        </w:rPr>
        <w:t xml:space="preserve">Guide d'usage de l'IA pour les agents publics de l'État, juin 2026 (ia.numerique.gouv.fr). Principes de responsabilité, de choix de l'outil selon les données, de transparence, d'utilité réelle et de formation ; test « pourrais-je publier ces informations sur Internet ? » ; formule de mention.</w:t>
      </w:r>
    </w:p>
    <w:p>
      <w:pPr>
        <w:pStyle w:val="ListParagraph"/>
        <w:numPr>
          <w:ilvl w:val="0"/>
          <w:numId w:val="2"/>
        </w:numPr>
        <w:spacing w:after="60" w:line="276"/>
      </w:pPr>
      <w:r>
        <w:rPr>
          <w:rFonts w:ascii="Calibri" w:cs="Calibri" w:eastAsia="Calibri" w:hAnsi="Calibri"/>
          <w:b/>
          <w:bCs/>
          <w:sz w:val="22"/>
          <w:szCs w:val="22"/>
        </w:rPr>
        <w:t xml:space="preserve">Service d'information du Gouvernement. </w:t>
      </w:r>
      <w:r>
        <w:rPr>
          <w:rFonts w:ascii="Calibri" w:cs="Calibri" w:eastAsia="Calibri" w:hAnsi="Calibri"/>
          <w:sz w:val="22"/>
          <w:szCs w:val="22"/>
        </w:rPr>
        <w:t xml:space="preserve">Charte pour un usage responsable de l'IA pour les communicants de l'État, février 2026 (info.gouv.fr). Douze règles dont la limitation des connexions de l'IA aux ressources internes, l'accessibilité et l'impact énergétique.</w:t>
      </w:r>
    </w:p>
    <w:p>
      <w:pPr>
        <w:pStyle w:val="ListParagraph"/>
        <w:numPr>
          <w:ilvl w:val="0"/>
          <w:numId w:val="2"/>
        </w:numPr>
        <w:spacing w:after="60" w:line="276"/>
      </w:pPr>
      <w:r>
        <w:rPr>
          <w:rFonts w:ascii="Calibri" w:cs="Calibri" w:eastAsia="Calibri" w:hAnsi="Calibri"/>
          <w:b/>
          <w:bCs/>
          <w:sz w:val="22"/>
          <w:szCs w:val="22"/>
        </w:rPr>
        <w:t xml:space="preserve">CNIL. </w:t>
      </w:r>
      <w:r>
        <w:rPr>
          <w:rFonts w:ascii="Calibri" w:cs="Calibri" w:eastAsia="Calibri" w:hAnsi="Calibri"/>
          <w:sz w:val="22"/>
          <w:szCs w:val="22"/>
        </w:rPr>
        <w:t xml:space="preserve">Questions-réponses sur l'utilisation d'un système d'IA générative, juillet 2024 ; fiches « Utiliser l'IA générative dans les TPE et PME », mars 2025 ; note du Conseil de l'IA et du numérique sur l'IA agentique et la protection des données, juillet 2026 (cnil.fr).</w:t>
      </w:r>
    </w:p>
    <w:p>
      <w:pPr>
        <w:pStyle w:val="ListParagraph"/>
        <w:numPr>
          <w:ilvl w:val="0"/>
          <w:numId w:val="2"/>
        </w:numPr>
        <w:spacing w:after="60" w:line="276"/>
      </w:pPr>
      <w:r>
        <w:rPr>
          <w:rFonts w:ascii="Calibri" w:cs="Calibri" w:eastAsia="Calibri" w:hAnsi="Calibri"/>
          <w:b/>
          <w:bCs/>
          <w:sz w:val="22"/>
          <w:szCs w:val="22"/>
        </w:rPr>
        <w:t xml:space="preserve">ANSSI. </w:t>
      </w:r>
      <w:r>
        <w:rPr>
          <w:rFonts w:ascii="Calibri" w:cs="Calibri" w:eastAsia="Calibri" w:hAnsi="Calibri"/>
          <w:sz w:val="22"/>
          <w:szCs w:val="22"/>
        </w:rPr>
        <w:t xml:space="preserve">Recommandations de sécurité pour un système d'IA générative (PA-102), avril 2024 ; alerte CERTFR-2026-ACT-016 sur les produits d'automatisation par IA agentique sur les postes de travail, avril 2026 ; synthèse CERTFR-2026-CTI-001 sur l'IA générative face aux attaques informatiques, février 2026 (cyber.gouv.fr).</w:t>
      </w:r>
    </w:p>
    <w:p>
      <w:pPr>
        <w:pStyle w:val="ListParagraph"/>
        <w:numPr>
          <w:ilvl w:val="0"/>
          <w:numId w:val="2"/>
        </w:numPr>
        <w:spacing w:after="60" w:line="276"/>
      </w:pPr>
      <w:r>
        <w:rPr>
          <w:rFonts w:ascii="Calibri" w:cs="Calibri" w:eastAsia="Calibri" w:hAnsi="Calibri"/>
          <w:b/>
          <w:bCs/>
          <w:sz w:val="22"/>
          <w:szCs w:val="22"/>
        </w:rPr>
        <w:t xml:space="preserve">Ministère de la Culture. </w:t>
      </w:r>
      <w:r>
        <w:rPr>
          <w:rFonts w:ascii="Calibri" w:cs="Calibri" w:eastAsia="Calibri" w:hAnsi="Calibri"/>
          <w:sz w:val="22"/>
          <w:szCs w:val="22"/>
        </w:rPr>
        <w:t xml:space="preserve">Charte interne relative à l'IA générative, juin 2024 (liste « renoncer à l'IA générative si… »). Ministère de l'Éducation nationale, cadre d'usage de l'IA dans les ressources humaines, avril 2026. Conseil d'État, charte sur l'IA des juridictions administratives, 2025.</w:t>
      </w:r>
    </w:p>
    <w:p>
      <w:pPr>
        <w:pStyle w:val="ListParagraph"/>
        <w:numPr>
          <w:ilvl w:val="0"/>
          <w:numId w:val="2"/>
        </w:numPr>
        <w:spacing w:after="60" w:line="276"/>
      </w:pPr>
      <w:r>
        <w:rPr>
          <w:rFonts w:ascii="Calibri" w:cs="Calibri" w:eastAsia="Calibri" w:hAnsi="Calibri"/>
          <w:b/>
          <w:bCs/>
          <w:sz w:val="22"/>
          <w:szCs w:val="22"/>
        </w:rPr>
        <w:t xml:space="preserve">Barreau de Paris. </w:t>
      </w:r>
      <w:r>
        <w:rPr>
          <w:rFonts w:ascii="Calibri" w:cs="Calibri" w:eastAsia="Calibri" w:hAnsi="Calibri"/>
          <w:sz w:val="22"/>
          <w:szCs w:val="22"/>
        </w:rPr>
        <w:t xml:space="preserve">Modèle de charte d'usage de l'IA à disposition des cabinets, juillet 2026 (déclencheurs de réexamen des outils, distinction IA générative et agentique).</w:t>
      </w:r>
    </w:p>
    <w:p>
      <w:pPr>
        <w:pStyle w:val="ListParagraph"/>
        <w:numPr>
          <w:ilvl w:val="0"/>
          <w:numId w:val="2"/>
        </w:numPr>
        <w:spacing w:after="60" w:line="276"/>
      </w:pPr>
      <w:r>
        <w:rPr>
          <w:rFonts w:ascii="Calibri" w:cs="Calibri" w:eastAsia="Calibri" w:hAnsi="Calibri"/>
          <w:b/>
          <w:bCs/>
          <w:sz w:val="22"/>
          <w:szCs w:val="22"/>
        </w:rPr>
        <w:t xml:space="preserve">MEDEF Île-de-France. </w:t>
      </w:r>
      <w:r>
        <w:rPr>
          <w:rFonts w:ascii="Calibri" w:cs="Calibri" w:eastAsia="Calibri" w:hAnsi="Calibri"/>
          <w:sz w:val="22"/>
          <w:szCs w:val="22"/>
        </w:rPr>
        <w:t xml:space="preserve">Usage des outils d'IA en entreprise : entre généralisation et nécessité d'encadrement, septembre 2025 (gouvernance, consultation du CSE, ordonnance du tribunal judiciaire de Nanterre du 14 février 2025).</w:t>
      </w:r>
    </w:p>
    <w:p>
      <w:pPr>
        <w:pStyle w:val="ListParagraph"/>
        <w:numPr>
          <w:ilvl w:val="0"/>
          <w:numId w:val="2"/>
        </w:numPr>
        <w:spacing w:after="60" w:line="276"/>
      </w:pPr>
      <w:r>
        <w:rPr>
          <w:rFonts w:ascii="Calibri" w:cs="Calibri" w:eastAsia="Calibri" w:hAnsi="Calibri"/>
          <w:b/>
          <w:bCs/>
          <w:sz w:val="22"/>
          <w:szCs w:val="22"/>
        </w:rPr>
        <w:t xml:space="preserve">Textes. </w:t>
      </w:r>
      <w:r>
        <w:rPr>
          <w:rFonts w:ascii="Calibri" w:cs="Calibri" w:eastAsia="Calibri" w:hAnsi="Calibri"/>
          <w:sz w:val="22"/>
          <w:szCs w:val="22"/>
        </w:rPr>
        <w:t xml:space="preserve">Règlement (UE) 2024/1689 (AI Act) et règlement (UE) 2026/1744 (Omnibus IA) ; règlement (UE) 2016/679 (RGPD) ; code du travail, articles L1121-1, L1222-4, L1321-5, L1331-1, L2312-8, L2312-38, L4121-1.</w:t>
      </w:r>
    </w:p>
    <w:p>
      <w:pPr>
        <w:spacing w:after="60"/>
      </w:pPr>
      <w:r>
        <w:rPr>
          <w:rFonts w:ascii="Calibri" w:cs="Calibri" w:eastAsia="Calibri" w:hAnsi="Calibri"/>
          <w:sz w:val="22"/>
          <w:szCs w:val="22"/>
        </w:rPr>
        <w:t xml:space="preserve"/>
      </w:r>
    </w:p>
    <w:p>
      <w:pPr>
        <w:spacing w:after="120" w:line="276"/>
      </w:pPr>
      <w:r>
        <w:rPr>
          <w:rFonts w:ascii="Calibri" w:cs="Calibri" w:eastAsia="Calibri" w:hAnsi="Calibri"/>
          <w:sz w:val="22"/>
          <w:szCs w:val="22"/>
        </w:rPr>
        <w:t xml:space="preserve">Ce document est un modèle générique proposé gratuitement par NextStart.AI (www.nextstart.ai). Il ne constitue pas un conseil juridique et doit être adapté à chaque organisation avec l'appui de son conseil.</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638"/>
      </w:tabs>
    </w:pPr>
    <w:r>
      <w:rPr>
        <w:rFonts w:ascii="Calibri" w:cs="Calibri" w:eastAsia="Calibri" w:hAnsi="Calibri"/>
        <w:color w:val="666666"/>
        <w:sz w:val="16"/>
        <w:szCs w:val="16"/>
      </w:rPr>
      <w:t xml:space="preserve">Modèle gratuit proposé par NextStart.AI (www.nextstart.ai). Document à adapter, ne constitue pas un conseil juridique.</w:t>
    </w:r>
    <w:r>
      <w:rPr>
        <w:rFonts w:ascii="Calibri" w:cs="Calibri" w:eastAsia="Calibri" w:hAnsi="Calibri"/>
        <w:color w:val="666666"/>
        <w:sz w:val="16"/>
        <w:szCs w:val="16"/>
      </w:rPr>
      <w:t xml:space="preserve">	Page </w:t>
    </w:r>
    <w:r>
      <w:rPr>
        <w:rFonts w:ascii="Calibri" w:cs="Calibri" w:eastAsia="Calibri" w:hAnsi="Calibri"/>
        <w:color w:val="666666"/>
        <w:sz w:val="16"/>
        <w:szCs w:val="16"/>
      </w:rPr>
      <w:fldChar w:fldCharType="begin"/>
      <w:instrText xml:space="preserve">PAGE</w:instrText>
      <w:fldChar w:fldCharType="separate"/>
      <w:fldChar w:fldCharType="end"/>
    </w:r>
    <w:r>
      <w:rPr>
        <w:rFonts w:ascii="Calibri" w:cs="Calibri" w:eastAsia="Calibri" w:hAnsi="Calibri"/>
        <w:color w:val="666666"/>
        <w:sz w:val="16"/>
        <w:szCs w:val="16"/>
      </w:rPr>
      <w:t xml:space="preserve"> / </w:t>
    </w:r>
    <w:r>
      <w:rPr>
        <w:rFonts w:ascii="Calibri" w:cs="Calibri" w:eastAsia="Calibri" w:hAnsi="Calibri"/>
        <w:color w:val="666666"/>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8C4D6" w:sz="4" w:space="4"/>
      </w:pBdr>
      <w:jc w:val="right"/>
    </w:pPr>
    <w:r>
      <w:rPr>
        <w:rFonts w:ascii="Calibri" w:cs="Calibri" w:eastAsia="Calibri" w:hAnsi="Calibri"/>
        <w:color w:val="666666"/>
        <w:sz w:val="16"/>
        <w:szCs w:val="16"/>
      </w:rPr>
      <w:t xml:space="preserve">Charte d'usage de l'IA en entreprise. Modèle NextStart.AI, version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abstractNum w:abstractNumId="3" w15:restartNumberingAfterBreak="0">
    <w:multiLevelType w:val="hybridMultilevel"/>
    <w:lvl w:ilvl="0" w15:tentative="1">
      <w:start w:val="1"/>
      <w:numFmt w:val="decimal"/>
      <w:lvlText w:val="%1."/>
      <w:lvlJc w:val="left"/>
      <w:pPr>
        <w:ind w:left="54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keepNext/>
      <w:spacing w:after="160" w:before="360"/>
      <w:outlineLvl w:val="0"/>
    </w:pPr>
    <w:rPr>
      <w:rFonts w:ascii="Calibri" w:cs="Calibri" w:eastAsia="Calibri" w:hAnsi="Calibri"/>
      <w:b/>
      <w:bCs/>
      <w:color w:val="1F3A5F"/>
      <w:sz w:val="32"/>
      <w:szCs w:val="32"/>
    </w:rPr>
  </w:style>
  <w:style w:type="paragraph" w:styleId="Heading2">
    <w:name w:val="Heading 2"/>
    <w:basedOn w:val="Normal"/>
    <w:next w:val="Normal"/>
    <w:qFormat/>
    <w:pPr>
      <w:keepNext/>
      <w:spacing w:after="120" w:before="240"/>
      <w:outlineLvl w:val="1"/>
    </w:pPr>
    <w:rPr>
      <w:rFonts w:ascii="Calibri" w:cs="Calibri" w:eastAsia="Calibri" w:hAnsi="Calibri"/>
      <w:b/>
      <w:bCs/>
      <w:color w:val="1F3A5F"/>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charte d'usage de l'IA en entreprise (2026)</dc:title>
  <dc:creator>NextStart.AI</dc:creator>
  <dc:description>Modèle de charte IA en entreprise, à jour de l'AI Act 2026, proposé par NextStart.AI</dc:description>
  <cp:lastModifiedBy>Un-named</cp:lastModifiedBy>
  <cp:revision>1</cp:revision>
  <dcterms:created xsi:type="dcterms:W3CDTF">2026-09-12T14:11:36.884Z</dcterms:created>
  <dcterms:modified xsi:type="dcterms:W3CDTF">2026-09-12T14:11:36.885Z</dcterms:modified>
</cp:coreProperties>
</file>

<file path=docProps/custom.xml><?xml version="1.0" encoding="utf-8"?>
<Properties xmlns="http://schemas.openxmlformats.org/officeDocument/2006/custom-properties" xmlns:vt="http://schemas.openxmlformats.org/officeDocument/2006/docPropsVTypes"/>
</file>