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800"/>
      </w:pPr>
    </w:p>
    <w:p>
      <w:pPr>
        <w:spacing w:after="200"/>
      </w:pPr>
      <w:r>
        <w:rPr>
          <w:rFonts w:ascii="Calibri" w:cs="Calibri" w:eastAsia="Calibri" w:hAnsi="Calibri"/>
          <w:b/>
          <w:bCs/>
          <w:color w:val="1F5FBF"/>
          <w:spacing w:val="40"/>
          <w:sz w:val="24"/>
          <w:szCs w:val="24"/>
        </w:rPr>
        <w:t xml:space="preserve">KIT PRATIQUE</w:t>
      </w:r>
    </w:p>
    <w:p>
      <w:pPr>
        <w:spacing w:after="0"/>
      </w:pPr>
      <w:r>
        <w:rPr>
          <w:rFonts w:ascii="Calibri" w:cs="Calibri" w:eastAsia="Calibri" w:hAnsi="Calibri"/>
          <w:b/>
          <w:bCs/>
          <w:color w:val="0F2D5E"/>
          <w:sz w:val="64"/>
          <w:szCs w:val="64"/>
        </w:rPr>
        <w:t xml:space="preserve">Mesurer les usages,</w:t>
      </w:r>
    </w:p>
    <w:p>
      <w:pPr>
        <w:spacing w:after="0"/>
      </w:pPr>
      <w:r>
        <w:rPr>
          <w:rFonts w:ascii="Calibri" w:cs="Calibri" w:eastAsia="Calibri" w:hAnsi="Calibri"/>
          <w:b/>
          <w:bCs/>
          <w:color w:val="0F2D5E"/>
          <w:sz w:val="64"/>
          <w:szCs w:val="64"/>
        </w:rPr>
        <w:t xml:space="preserve">la valeur et le ROI</w:t>
      </w:r>
    </w:p>
    <w:p>
      <w:pPr>
        <w:spacing w:after="400"/>
      </w:pPr>
      <w:r>
        <w:rPr>
          <w:rFonts w:ascii="Calibri" w:cs="Calibri" w:eastAsia="Calibri" w:hAnsi="Calibri"/>
          <w:b/>
          <w:bCs/>
          <w:color w:val="1F5FBF"/>
          <w:sz w:val="64"/>
          <w:szCs w:val="64"/>
        </w:rPr>
        <w:t xml:space="preserve">de l'IA générative</w:t>
      </w:r>
    </w:p>
    <w:p>
      <w:pPr>
        <w:spacing w:after="300" w:line="300"/>
      </w:pPr>
      <w:r>
        <w:rPr>
          <w:rFonts w:ascii="Calibri" w:cs="Calibri" w:eastAsia="Calibri" w:hAnsi="Calibri"/>
          <w:color w:val="5A6472"/>
          <w:sz w:val="26"/>
          <w:szCs w:val="26"/>
        </w:rPr>
        <w:t xml:space="preserve">Le tableau de bord, les protocoles de mesure et le calcul de retour sur investissement qu'un comité de direction accepte : ce qu'il faut compter, comment le compter, et ce qu'il ne faut surtout pas prétendre.</w:t>
      </w:r>
    </w:p>
    <w:p>
      <w:pPr>
        <w:pBdr>
          <w:bottom w:val="single" w:color="1F5FBF" w:sz="12"/>
        </w:pBdr>
        <w:spacing w:after="300"/>
      </w:pPr>
    </w:p>
    <w:p>
      <w:pPr>
        <w:spacing w:after="80"/>
      </w:pPr>
      <w:r>
        <w:rPr>
          <w:rFonts w:ascii="Calibri" w:cs="Calibri" w:eastAsia="Calibri" w:hAnsi="Calibri"/>
          <w:color w:val="5A6472"/>
          <w:sz w:val="22"/>
          <w:szCs w:val="22"/>
        </w:rPr>
        <w:t xml:space="preserve">Édition 2026  ·  Modèle Word modifiable  ·  Usage interne libre</w:t>
      </w:r>
    </w:p>
    <w:p>
      <w:pPr>
        <w:spacing w:after="80"/>
      </w:pPr>
      <w:r>
        <w:rPr>
          <w:rFonts w:ascii="Calibri" w:cs="Calibri" w:eastAsia="Calibri" w:hAnsi="Calibri"/>
          <w:color w:val="5A6472"/>
          <w:sz w:val="22"/>
          <w:szCs w:val="22"/>
        </w:rPr>
        <w:t xml:space="preserve">Réalisé par NextStart.AI, formation et conseil en IA générative pour les grandes organisations</w:t>
      </w:r>
    </w:p>
    <w:p>
      <w:r>
        <w:rPr>
          <w:rFonts w:ascii="Calibri" w:cs="Calibri" w:eastAsia="Calibri" w:hAnsi="Calibri"/>
          <w:b/>
          <w:bCs/>
          <w:color w:val="1F5FBF"/>
          <w:sz w:val="22"/>
          <w:szCs w:val="22"/>
        </w:rPr>
        <w:t xml:space="preserve">www.nextstart.ai</w:t>
      </w:r>
    </w:p>
    <w:p>
      <w:pPr>
        <w:sectPr>
          <w:pgSz w:w="11906" w:h="16838" w:orient="portrait"/>
          <w:pgMar w:top="1134" w:right="1134" w:bottom="1134" w:left="1134" w:header="567" w:footer="567" w:gutter="0"/>
          <w:pgNumType/>
          <w:docGrid w:linePitch="360"/>
        </w:sectPr>
      </w:pPr>
    </w:p>
    <w:p>
      <w:pPr>
        <w:pStyle w:val="Heading1"/>
        <w:pageBreakBefore/>
        <w:spacing w:after="240" w:before="0"/>
      </w:pPr>
      <w:r>
        <w:rPr>
          <w:rFonts w:ascii="Calibri" w:cs="Calibri" w:eastAsia="Calibri" w:hAnsi="Calibri"/>
        </w:rPr>
        <w:t xml:space="preserve">Comment utiliser ce kit</w:t>
      </w:r>
    </w:p>
    <w:p>
      <w:pPr>
        <w:spacing w:after="140" w:before="0" w:line="276"/>
      </w:pPr>
      <w:r>
        <w:rPr>
          <w:rFonts w:ascii="Calibri" w:cs="Calibri" w:eastAsia="Calibri" w:hAnsi="Calibri"/>
        </w:rPr>
        <w:t xml:space="preserve">Tôt ou tard, la même question tombe : « l'IA, ça nous rapporte quoi ? » Elle arrive souvent au bout de six à douze mois, quand la facture des licences devient visible et que l'enthousiasme initial est retombé. Les organisations qui répondent bien à cette question ne sont pas celles qui ont le plus dépensé, ce sont celles qui ont mesuré dès le départ, avec peu d'indicateurs, des définitions écrites et un point de départ relevé avant le déploiement.</w:t>
      </w:r>
    </w:p>
    <w:p>
      <w:pPr>
        <w:spacing w:after="140" w:before="0" w:line="276"/>
      </w:pPr>
      <w:r>
        <w:rPr>
          <w:rFonts w:ascii="Calibri" w:cs="Calibri" w:eastAsia="Calibri" w:hAnsi="Calibri"/>
        </w:rPr>
        <w:t xml:space="preserve">Ce kit s'adresse à la personne qui devra répondre : référent IA, direction de la transformation, DRH, DSI, contrôle de gestion associé au sujet. Il ne propose pas une méthode académique de calcul de retour sur investissement, mais un dispositif de mesure réaliste, tenable par une personne à temps partiel, et suffisamment honnête pour résister aux questions d'un directeur financier.</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c>
          <w:tcPr>
            <w:tcW w:type="dxa" w:w="9638"/>
            <w:tcBorders>
              <w:top w:val="none" w:color="FFFFFF" w:sz="0"/>
              <w:left w:val="single" w:color="1F5FBF" w:sz="24"/>
              <w:bottom w:val="none" w:color="FFFFFF" w:sz="0"/>
              <w:right w:val="none" w:color="FFFFFF" w:sz="0"/>
            </w:tcBorders>
            <w:shd w:fill="EAF1FB" w:color="auto" w:val="clear"/>
            <w:tcMar>
              <w:top w:type="dxa" w:w="140"/>
              <w:left w:type="dxa" w:w="200"/>
              <w:bottom w:type="dxa" w:w="100"/>
              <w:right w:type="dxa" w:w="200"/>
            </w:tcMar>
          </w:tcPr>
          <w:p>
            <w:pPr>
              <w:spacing w:after="80"/>
            </w:pPr>
            <w:r>
              <w:rPr>
                <w:rFonts w:ascii="Calibri" w:cs="Calibri" w:eastAsia="Calibri" w:hAnsi="Calibri"/>
                <w:b/>
                <w:bCs/>
                <w:color w:val="0F2D5E"/>
                <w:sz w:val="21"/>
                <w:szCs w:val="21"/>
              </w:rPr>
              <w:t xml:space="preserve">Les cinq parties du kit</w:t>
            </w:r>
          </w:p>
          <w:p>
            <w:pPr>
              <w:spacing w:after="60" w:line="264"/>
            </w:pPr>
            <w:r>
              <w:rPr>
                <w:rFonts w:ascii="Calibri" w:cs="Calibri" w:eastAsia="Calibri" w:hAnsi="Calibri"/>
                <w:b/>
                <w:bCs/>
                <w:sz w:val="20"/>
                <w:szCs w:val="20"/>
              </w:rPr>
              <w:t xml:space="preserve">1. Décider ce qu'on mesure</w:t>
            </w:r>
            <w:r>
              <w:rPr>
                <w:rFonts w:ascii="Calibri" w:cs="Calibri" w:eastAsia="Calibri" w:hAnsi="Calibri"/>
                <w:sz w:val="20"/>
                <w:szCs w:val="20"/>
              </w:rPr>
              <w:t xml:space="preserve"> : quatre familles d'indicateurs, le principe de la mesure utile, et ce qu'il faut renoncer à mesurer.</w:t>
            </w:r>
          </w:p>
          <w:p>
            <w:pPr>
              <w:spacing w:after="60" w:line="264"/>
            </w:pPr>
            <w:r>
              <w:rPr>
                <w:rFonts w:ascii="Calibri" w:cs="Calibri" w:eastAsia="Calibri" w:hAnsi="Calibri"/>
                <w:b/>
                <w:bCs/>
                <w:sz w:val="20"/>
                <w:szCs w:val="20"/>
              </w:rPr>
              <w:t xml:space="preserve">2. Mesurer les usages</w:t>
            </w:r>
            <w:r>
              <w:rPr>
                <w:rFonts w:ascii="Calibri" w:cs="Calibri" w:eastAsia="Calibri" w:hAnsi="Calibri"/>
                <w:sz w:val="20"/>
                <w:szCs w:val="20"/>
              </w:rPr>
              <w:t xml:space="preserve"> : d'où viennent les chiffres, comment définir un utilisateur actif, comment lire l'adoption par direction.</w:t>
            </w:r>
          </w:p>
          <w:p>
            <w:pPr>
              <w:spacing w:after="60" w:line="264"/>
            </w:pPr>
            <w:r>
              <w:rPr>
                <w:rFonts w:ascii="Calibri" w:cs="Calibri" w:eastAsia="Calibri" w:hAnsi="Calibri"/>
                <w:b/>
                <w:bCs/>
                <w:sz w:val="20"/>
                <w:szCs w:val="20"/>
              </w:rPr>
              <w:t xml:space="preserve">3. Mesurer la valeur</w:t>
            </w:r>
            <w:r>
              <w:rPr>
                <w:rFonts w:ascii="Calibri" w:cs="Calibri" w:eastAsia="Calibri" w:hAnsi="Calibri"/>
                <w:sz w:val="20"/>
                <w:szCs w:val="20"/>
              </w:rPr>
              <w:t xml:space="preserve"> : trois méthodes du plus simple au plus rigoureux, avec le protocole avant / après détaillé.</w:t>
            </w:r>
          </w:p>
          <w:p>
            <w:pPr>
              <w:spacing w:after="60" w:line="264"/>
            </w:pPr>
            <w:r>
              <w:rPr>
                <w:rFonts w:ascii="Calibri" w:cs="Calibri" w:eastAsia="Calibri" w:hAnsi="Calibri"/>
                <w:b/>
                <w:bCs/>
                <w:sz w:val="20"/>
                <w:szCs w:val="20"/>
              </w:rPr>
              <w:t xml:space="preserve">4. Calculer le ROI</w:t>
            </w:r>
            <w:r>
              <w:rPr>
                <w:rFonts w:ascii="Calibri" w:cs="Calibri" w:eastAsia="Calibri" w:hAnsi="Calibri"/>
                <w:sz w:val="20"/>
                <w:szCs w:val="20"/>
              </w:rPr>
              <w:t xml:space="preserve"> : les coûts complets, la conversion des heures gagnées, trois scénarios, et les pièges de calcul.</w:t>
            </w:r>
          </w:p>
          <w:p>
            <w:pPr>
              <w:spacing w:after="60" w:line="264"/>
            </w:pPr>
            <w:r>
              <w:rPr>
                <w:rFonts w:ascii="Calibri" w:cs="Calibri" w:eastAsia="Calibri" w:hAnsi="Calibri"/>
                <w:b/>
                <w:bCs/>
                <w:sz w:val="20"/>
                <w:szCs w:val="20"/>
              </w:rPr>
              <w:t xml:space="preserve">5. Restituer et décider</w:t>
            </w:r>
            <w:r>
              <w:rPr>
                <w:rFonts w:ascii="Calibri" w:cs="Calibri" w:eastAsia="Calibri" w:hAnsi="Calibri"/>
                <w:sz w:val="20"/>
                <w:szCs w:val="20"/>
              </w:rPr>
              <w:t xml:space="preserve"> : le bilan en cinq pages pour le comité de direction, les arbitrages, la cadence de la mesure.</w:t>
            </w:r>
          </w:p>
        </w:tc>
      </w:tr>
    </w:tbl>
    <w:p>
      <w:pPr>
        <w:spacing w:after="120"/>
      </w:pPr>
    </w:p>
    <w:p>
      <w:pPr>
        <w:pStyle w:val="Heading2"/>
        <w:keepNext/>
        <w:spacing w:after="140" w:before="320"/>
      </w:pPr>
      <w:r>
        <w:rPr>
          <w:rFonts w:ascii="Calibri" w:cs="Calibri" w:eastAsia="Calibri" w:hAnsi="Calibri"/>
        </w:rPr>
        <w:t xml:space="preserve">Trois principes de mesure</w:t>
      </w:r>
    </w:p>
    <w:p>
      <w:pPr>
        <w:spacing w:after="140" w:before="0" w:line="276"/>
      </w:pPr>
      <w:r>
        <w:rPr>
          <w:rFonts w:ascii="Calibri" w:cs="Calibri" w:eastAsia="Calibri" w:hAnsi="Calibri"/>
          <w:b/>
          <w:bCs/>
        </w:rPr>
        <w:t xml:space="preserve">Peu d'indicateurs, bien définis.</w:t>
      </w:r>
      <w:r>
        <w:rPr>
          <w:rFonts w:ascii="Calibri" w:cs="Calibri" w:eastAsia="Calibri" w:hAnsi="Calibri"/>
        </w:rPr>
        <w:t xml:space="preserve"> Quatre à six chiffres suivis dans la durée valent mieux que vingt relevés une fois. Chaque indicateur de ce kit vient avec sa définition, sa source et sa fréquence : c'est la définition écrite, pas le chiffre, qui rend la comparaison possible d'un trimestre à l'autre.</w:t>
      </w:r>
    </w:p>
    <w:p>
      <w:pPr>
        <w:spacing w:after="140" w:before="0" w:line="276"/>
      </w:pPr>
      <w:r>
        <w:rPr>
          <w:rFonts w:ascii="Calibri" w:cs="Calibri" w:eastAsia="Calibri" w:hAnsi="Calibri"/>
          <w:b/>
          <w:bCs/>
        </w:rPr>
        <w:t xml:space="preserve">Un point de départ avant tout déploiement.</w:t>
      </w:r>
      <w:r>
        <w:rPr>
          <w:rFonts w:ascii="Calibri" w:cs="Calibri" w:eastAsia="Calibri" w:hAnsi="Calibri"/>
        </w:rPr>
        <w:t xml:space="preserve"> Sans mesure initiale, aucun gain n'est démontrable. Si le déploiement a déjà commencé, relevez le point de départ sur le prochain périmètre qui s'ouvre, et documentez l'absence de mesure sur le précédent plutôt que de reconstituer des chiffres a posteriori.</w:t>
      </w:r>
    </w:p>
    <w:p>
      <w:pPr>
        <w:spacing w:after="140" w:before="0" w:line="276"/>
      </w:pPr>
      <w:r>
        <w:rPr>
          <w:rFonts w:ascii="Calibri" w:cs="Calibri" w:eastAsia="Calibri" w:hAnsi="Calibri"/>
          <w:b/>
          <w:bCs/>
        </w:rPr>
        <w:t xml:space="preserve">La prudence est un argument.</w:t>
      </w:r>
      <w:r>
        <w:rPr>
          <w:rFonts w:ascii="Calibri" w:cs="Calibri" w:eastAsia="Calibri" w:hAnsi="Calibri"/>
        </w:rPr>
        <w:t xml:space="preserve"> Un gain annoncé à 2 heures par semaine et par utilisateur, assumé comme déclaratif et décoté, est plus solide qu'un gain à 6 heures qui ne résiste pas à la première question. Le kit propose systématiquement l'hypothèse prudente comme chiffre principal, et les hypothèses hautes comme fourchette.</w:t>
      </w:r>
    </w:p>
    <w:p>
      <w:pPr>
        <w:pStyle w:val="Heading2"/>
        <w:keepNext/>
        <w:spacing w:after="140" w:before="320"/>
      </w:pPr>
      <w:r>
        <w:rPr>
          <w:rFonts w:ascii="Calibri" w:cs="Calibri" w:eastAsia="Calibri" w:hAnsi="Calibri"/>
        </w:rPr>
        <w:t xml:space="preserve">Ce que ce kit ne fait pas</w:t>
      </w:r>
    </w:p>
    <w:p>
      <w:pPr>
        <w:spacing w:after="140" w:before="0" w:line="276"/>
      </w:pPr>
      <w:r>
        <w:rPr>
          <w:rFonts w:ascii="Calibri" w:cs="Calibri" w:eastAsia="Calibri" w:hAnsi="Calibri"/>
        </w:rPr>
        <w:t xml:space="preserve">Il ne fournit pas de preuve causale. Aucune organisation ne peut isoler l'effet de l'IA de celui des autres changements de l'année, sauf à construire un protocole expérimental que personne ne financera. Ce que le kit permet, c'est de documenter une corrélation solide, mesurée avant et après, sur un périmètre décrit, avec une hypothèse assumée. C'est le niveau de preuve qu'un comité de direction attend pour arbitrer, et c'est celui que les organisations sérieuses atteignent.</w:t>
      </w:r>
    </w:p>
    <w:p>
      <w:pPr>
        <w:spacing w:after="140" w:before="0" w:line="276"/>
      </w:pPr>
      <w:r>
        <w:rPr>
          <w:rFonts w:ascii="Calibri" w:cs="Calibri" w:eastAsia="Calibri" w:hAnsi="Calibri"/>
        </w:rPr>
        <w:t xml:space="preserve">Il ne remplace pas non plus vos règles internes de calcul économique : taux horaire chargé, méthode d'amortissement, seuil de rentabilité attendu. Prenez l'attache du contrôle de gestion dès la première mesure ; un chiffre validé par la finance vaut dix chiffres produits par le porteur du projet.</w:t>
      </w:r>
    </w:p>
    <w:p>
      <w:pPr>
        <w:pStyle w:val="Heading1"/>
        <w:pageBreakBefore/>
        <w:spacing w:after="240" w:before="0"/>
      </w:pPr>
      <w:r>
        <w:rPr>
          <w:rFonts w:ascii="Calibri" w:cs="Calibri" w:eastAsia="Calibri" w:hAnsi="Calibri"/>
        </w:rPr>
        <w:t xml:space="preserve">Sommaire</w:t>
      </w:r>
    </w:p>
    <w:sdt>
      <w:sdtPr>
        <w:alias w:val="Sommaire"/>
      </w:sdtPr>
      <w:sdtContent>
        <w:p>
          <w:r>
            <w:fldChar w:fldCharType="begin" w:dirty="true"/>
            <w:instrText xml:space="preserve">TOC \h \o "1-2"</w:instrText>
            <w:fldChar w:fldCharType="separate"/>
          </w:r>
        </w:p>
        <w:p>
          <w:r>
            <w:fldChar w:fldCharType="end"/>
          </w:r>
        </w:p>
      </w:sdtContent>
    </w:sdt>
    <w:p>
      <w:pPr>
        <w:spacing w:after="120"/>
      </w:pPr>
    </w:p>
    <w:p>
      <w:pPr>
        <w:spacing w:after="140" w:before="0" w:line="276"/>
      </w:pPr>
      <w:r>
        <w:rPr>
          <w:rFonts w:ascii="Calibri" w:cs="Calibri" w:eastAsia="Calibri" w:hAnsi="Calibri"/>
          <w:i/>
          <w:iCs/>
          <w:color w:val="5A6472"/>
          <w:sz w:val="18"/>
          <w:szCs w:val="18"/>
        </w:rPr>
        <w:t xml:space="preserve">Le sommaire se met à jour dans Word : clic droit sur la table, puis « Mettre à jour les champs ».</w:t>
      </w:r>
    </w:p>
    <w:p>
      <w:pPr>
        <w:pStyle w:val="Heading1"/>
        <w:pageBreakBefore/>
        <w:spacing w:after="240" w:before="0"/>
      </w:pPr>
      <w:r>
        <w:rPr>
          <w:rFonts w:ascii="Calibri" w:cs="Calibri" w:eastAsia="Calibri" w:hAnsi="Calibri"/>
        </w:rPr>
        <w:t xml:space="preserve">1. Décider ce qu'on mesure</w:t>
      </w:r>
    </w:p>
    <w:p>
      <w:pPr>
        <w:spacing w:after="140" w:before="0" w:line="276"/>
      </w:pPr>
      <w:r>
        <w:rPr>
          <w:rFonts w:ascii="Calibri" w:cs="Calibri" w:eastAsia="Calibri" w:hAnsi="Calibri"/>
        </w:rPr>
        <w:t xml:space="preserve">La première erreur de mesure est de commencer par les outils : ouvrir la console d'administration, exporter ce qu'elle propose, et construire un tableau de bord à partir de ce qui est disponible plutôt qu'à partir de ce qui est utile. On obtient alors des chiffres exacts qui ne répondent à aucune question. La démarche inverse consiste à écrire les questions auxquelles le comité de direction voudra une réponse, puis à chercher le chiffre le plus simple qui y répond.</w:t>
      </w:r>
    </w:p>
    <w:p>
      <w:pPr>
        <w:pStyle w:val="Heading2"/>
        <w:keepNext/>
        <w:spacing w:after="140" w:before="320"/>
      </w:pPr>
      <w:r>
        <w:rPr>
          <w:rFonts w:ascii="Calibri" w:cs="Calibri" w:eastAsia="Calibri" w:hAnsi="Calibri"/>
        </w:rPr>
        <w:t xml:space="preserve">1.1 Les quatre questions et les quatre familles</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2506"/>
        <w:gridCol w:w="3277"/>
        <w:gridCol w:w="3855"/>
      </w:tblGrid>
      <w:tr>
        <w:trPr>
          <w:cantSplit/>
          <w:tblHeader/>
        </w:trPr>
        <w:tc>
          <w:tcPr>
            <w:tcW w:type="dxa" w:w="2506"/>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Question du comité</w:t>
            </w:r>
          </w:p>
        </w:tc>
        <w:tc>
          <w:tcPr>
            <w:tcW w:type="dxa" w:w="3277"/>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Famille d'indicateurs</w:t>
            </w:r>
          </w:p>
        </w:tc>
        <w:tc>
          <w:tcPr>
            <w:tcW w:type="dxa" w:w="3855"/>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Chiffre principal à produire</w:t>
            </w:r>
          </w:p>
        </w:tc>
      </w:tr>
      <w:tr>
        <w:trPr>
          <w:cantSplit/>
          <w:tblHeader w:val="false"/>
        </w:trPr>
        <w:tc>
          <w:tcPr>
            <w:tcW w:type="dxa" w:w="2506"/>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 Est-ce que les gens s'en servent ? »</w:t>
            </w:r>
          </w:p>
        </w:tc>
        <w:tc>
          <w:tcPr>
            <w:tcW w:type="dxa" w:w="3277"/>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Adoption</w:t>
            </w:r>
          </w:p>
        </w:tc>
        <w:tc>
          <w:tcPr>
            <w:tcW w:type="dxa" w:w="3855"/>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Part des collaborateurs du périmètre qui utilisent l'outil au moins une fois par semaine.</w:t>
            </w:r>
          </w:p>
        </w:tc>
      </w:tr>
      <w:tr>
        <w:trPr>
          <w:cantSplit/>
          <w:tblHeader w:val="false"/>
        </w:trPr>
        <w:tc>
          <w:tcPr>
            <w:tcW w:type="dxa" w:w="2506"/>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 Pour faire quoi ? »</w:t>
            </w:r>
          </w:p>
        </w:tc>
        <w:tc>
          <w:tcPr>
            <w:tcW w:type="dxa" w:w="3277"/>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Usage</w:t>
            </w:r>
          </w:p>
        </w:tc>
        <w:tc>
          <w:tcPr>
            <w:tcW w:type="dxa" w:w="3855"/>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Nombre de cas d'usage documentés et réutilisés, et répartition par direction et par métier.</w:t>
            </w:r>
          </w:p>
        </w:tc>
      </w:tr>
      <w:tr>
        <w:trPr>
          <w:cantSplit/>
          <w:tblHeader w:val="false"/>
        </w:trPr>
        <w:tc>
          <w:tcPr>
            <w:tcW w:type="dxa" w:w="2506"/>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 Qu'est-ce que ça nous apporte ? »</w:t>
            </w:r>
          </w:p>
        </w:tc>
        <w:tc>
          <w:tcPr>
            <w:tcW w:type="dxa" w:w="3277"/>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Valeur</w:t>
            </w:r>
          </w:p>
        </w:tc>
        <w:tc>
          <w:tcPr>
            <w:tcW w:type="dxa" w:w="3855"/>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Temps gagné par utilisateur régulier et par semaine, plus un indicateur de processus mesuré avant et après.</w:t>
            </w:r>
          </w:p>
        </w:tc>
      </w:tr>
      <w:tr>
        <w:trPr>
          <w:cantSplit/>
          <w:tblHeader w:val="false"/>
        </w:trPr>
        <w:tc>
          <w:tcPr>
            <w:tcW w:type="dxa" w:w="2506"/>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 Qu'est-ce que ça nous coûte, et quels risques ? »</w:t>
            </w:r>
          </w:p>
        </w:tc>
        <w:tc>
          <w:tcPr>
            <w:tcW w:type="dxa" w:w="3277"/>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Coûts et risques</w:t>
            </w:r>
          </w:p>
        </w:tc>
        <w:tc>
          <w:tcPr>
            <w:tcW w:type="dxa" w:w="3855"/>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Coût complet annuel (licences, formation, temps interne) et nombre d'incidents ou d'écarts constatés.</w:t>
            </w:r>
          </w:p>
        </w:tc>
      </w:tr>
    </w:tbl>
    <w:p>
      <w:pPr>
        <w:spacing w:after="120"/>
      </w:pPr>
    </w:p>
    <w:p>
      <w:pPr>
        <w:spacing w:after="140" w:before="0" w:line="276"/>
      </w:pPr>
      <w:r>
        <w:rPr>
          <w:rFonts w:ascii="Calibri" w:cs="Calibri" w:eastAsia="Calibri" w:hAnsi="Calibri"/>
        </w:rPr>
        <w:t xml:space="preserve">Ces quatre familles se suffisent pour l'année 1. Elles se lisent ensemble : un taux d'adoption élevé sans valeur mesurée signale des usages superficiels ; une valeur forte sur un périmètre étroit signale un cas d'usage à généraliser ; un coût qui grimpe sans adoption signale des licences à redistribuer.</w:t>
      </w:r>
    </w:p>
    <w:p>
      <w:pPr>
        <w:pStyle w:val="Heading2"/>
        <w:keepNext/>
        <w:spacing w:after="140" w:before="320"/>
      </w:pPr>
      <w:r>
        <w:rPr>
          <w:rFonts w:ascii="Calibri" w:cs="Calibri" w:eastAsia="Calibri" w:hAnsi="Calibri"/>
        </w:rPr>
        <w:t xml:space="preserve">1.2 Le principe de l'indicateur utile</w:t>
      </w:r>
    </w:p>
    <w:p>
      <w:pPr>
        <w:spacing w:after="140" w:before="0" w:line="276"/>
      </w:pPr>
      <w:r>
        <w:rPr>
          <w:rFonts w:ascii="Calibri" w:cs="Calibri" w:eastAsia="Calibri" w:hAnsi="Calibri"/>
        </w:rPr>
        <w:t xml:space="preserve">Un indicateur mérite sa place dans le tableau de bord s'il satisfait quatre conditions. Testez chaque candidat avec ces questions avant de l'adopter : le coût de collecte d'un indicateur est payé chaque mois, pas une fois.</w:t>
      </w:r>
    </w:p>
    <w:p>
      <w:pPr>
        <w:pStyle w:val="ListParagraph"/>
        <w:numPr>
          <w:ilvl w:val="0"/>
          <w:numId w:val="2"/>
        </w:numPr>
        <w:spacing w:after="80" w:line="276"/>
      </w:pPr>
      <w:r>
        <w:rPr>
          <w:rFonts w:ascii="Calibri" w:cs="Calibri" w:eastAsia="Calibri" w:hAnsi="Calibri"/>
          <w:b/>
          <w:bCs/>
        </w:rPr>
        <w:t xml:space="preserve">Il change une décision.</w:t>
      </w:r>
      <w:r>
        <w:rPr>
          <w:rFonts w:ascii="Calibri" w:cs="Calibri" w:eastAsia="Calibri" w:hAnsi="Calibri"/>
        </w:rPr>
        <w:t xml:space="preserve"> Si aucune valeur possible de cet indicateur ne conduirait à faire quelque chose de différent, il informe mais ne pilote pas : sortez-le du tableau de bord principal.</w:t>
      </w:r>
    </w:p>
    <w:p>
      <w:pPr>
        <w:pStyle w:val="ListParagraph"/>
        <w:numPr>
          <w:ilvl w:val="0"/>
          <w:numId w:val="2"/>
        </w:numPr>
        <w:spacing w:after="80" w:line="276"/>
      </w:pPr>
      <w:r>
        <w:rPr>
          <w:rFonts w:ascii="Calibri" w:cs="Calibri" w:eastAsia="Calibri" w:hAnsi="Calibri"/>
          <w:b/>
          <w:bCs/>
        </w:rPr>
        <w:t xml:space="preserve">Il est défini sans ambiguïté.</w:t>
      </w:r>
      <w:r>
        <w:rPr>
          <w:rFonts w:ascii="Calibri" w:cs="Calibri" w:eastAsia="Calibri" w:hAnsi="Calibri"/>
        </w:rPr>
        <w:t xml:space="preserve"> « Utilisateurs actifs » ne veut rien dire tant qu'on n'a pas écrit sur quelle période, avec quel seuil d'activité, et sur quel dénominateur.</w:t>
      </w:r>
    </w:p>
    <w:p>
      <w:pPr>
        <w:pStyle w:val="ListParagraph"/>
        <w:numPr>
          <w:ilvl w:val="0"/>
          <w:numId w:val="2"/>
        </w:numPr>
        <w:spacing w:after="80" w:line="276"/>
      </w:pPr>
      <w:r>
        <w:rPr>
          <w:rFonts w:ascii="Calibri" w:cs="Calibri" w:eastAsia="Calibri" w:hAnsi="Calibri"/>
          <w:b/>
          <w:bCs/>
        </w:rPr>
        <w:t xml:space="preserve">Sa source est stable.</w:t>
      </w:r>
      <w:r>
        <w:rPr>
          <w:rFonts w:ascii="Calibri" w:cs="Calibri" w:eastAsia="Calibri" w:hAnsi="Calibri"/>
        </w:rPr>
        <w:t xml:space="preserve"> Un chiffre produit à la main par une personne disparaît quand cette personne change de poste. Préférez la console d'administration, un export récurrent, ou un questionnaire à date fixe.</w:t>
      </w:r>
    </w:p>
    <w:p>
      <w:pPr>
        <w:pStyle w:val="ListParagraph"/>
        <w:numPr>
          <w:ilvl w:val="0"/>
          <w:numId w:val="2"/>
        </w:numPr>
        <w:spacing w:after="80" w:line="276"/>
      </w:pPr>
      <w:r>
        <w:rPr>
          <w:rFonts w:ascii="Calibri" w:cs="Calibri" w:eastAsia="Calibri" w:hAnsi="Calibri"/>
          <w:b/>
          <w:bCs/>
        </w:rPr>
        <w:t xml:space="preserve">Il est comparable dans le temps.</w:t>
      </w:r>
      <w:r>
        <w:rPr>
          <w:rFonts w:ascii="Calibri" w:cs="Calibri" w:eastAsia="Calibri" w:hAnsi="Calibri"/>
        </w:rPr>
        <w:t xml:space="preserve"> Ne changez pas de définition en cours d'année. Si une définition doit évoluer, recalculez l'historique ou ouvrez une nouvelle série en le signalant.</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c>
          <w:tcPr>
            <w:tcW w:type="dxa" w:w="9638"/>
            <w:tcBorders>
              <w:top w:val="none" w:color="FFFFFF" w:sz="0"/>
              <w:left w:val="single" w:color="1F5FBF" w:sz="24"/>
              <w:bottom w:val="none" w:color="FFFFFF" w:sz="0"/>
              <w:right w:val="none" w:color="FFFFFF" w:sz="0"/>
            </w:tcBorders>
            <w:shd w:fill="EAF1FB" w:color="auto" w:val="clear"/>
            <w:tcMar>
              <w:top w:type="dxa" w:w="140"/>
              <w:left w:type="dxa" w:w="200"/>
              <w:bottom w:type="dxa" w:w="100"/>
              <w:right w:type="dxa" w:w="200"/>
            </w:tcMar>
          </w:tcPr>
          <w:p>
            <w:pPr>
              <w:spacing w:after="80"/>
            </w:pPr>
            <w:r>
              <w:rPr>
                <w:rFonts w:ascii="Calibri" w:cs="Calibri" w:eastAsia="Calibri" w:hAnsi="Calibri"/>
                <w:b/>
                <w:bCs/>
                <w:color w:val="0F2D5E"/>
                <w:sz w:val="21"/>
                <w:szCs w:val="21"/>
              </w:rPr>
              <w:t xml:space="preserve">Zone de décision</w:t>
            </w:r>
          </w:p>
          <w:p>
            <w:pPr>
              <w:spacing w:after="60" w:line="264"/>
            </w:pPr>
            <w:r>
              <w:rPr>
                <w:rFonts w:ascii="Calibri" w:cs="Calibri" w:eastAsia="Calibri" w:hAnsi="Calibri"/>
                <w:sz w:val="20"/>
                <w:szCs w:val="20"/>
              </w:rPr>
              <w:t xml:space="preserve">Les indicateurs retenus pour notre tableau de bord (4 à 6 maximum) :</w:t>
            </w:r>
          </w:p>
          <w:p>
            <w:pPr>
              <w:spacing w:after="60" w:line="264"/>
            </w:pPr>
            <w:r>
              <w:rPr>
                <w:rFonts w:ascii="Calibri" w:cs="Calibri" w:eastAsia="Calibri" w:hAnsi="Calibri"/>
                <w:sz w:val="20"/>
                <w:szCs w:val="20"/>
              </w:rPr>
              <w:t xml:space="preserve">1. ______________________________________</w:t>
            </w:r>
          </w:p>
          <w:p>
            <w:pPr>
              <w:spacing w:after="60" w:line="264"/>
            </w:pPr>
            <w:r>
              <w:rPr>
                <w:rFonts w:ascii="Calibri" w:cs="Calibri" w:eastAsia="Calibri" w:hAnsi="Calibri"/>
                <w:sz w:val="20"/>
                <w:szCs w:val="20"/>
              </w:rPr>
              <w:t xml:space="preserve">2. ______________________________________</w:t>
            </w:r>
          </w:p>
          <w:p>
            <w:pPr>
              <w:spacing w:after="60" w:line="264"/>
            </w:pPr>
            <w:r>
              <w:rPr>
                <w:rFonts w:ascii="Calibri" w:cs="Calibri" w:eastAsia="Calibri" w:hAnsi="Calibri"/>
                <w:sz w:val="20"/>
                <w:szCs w:val="20"/>
              </w:rPr>
              <w:t xml:space="preserve">3. ______________________________________</w:t>
            </w:r>
          </w:p>
          <w:p>
            <w:pPr>
              <w:spacing w:after="60" w:line="264"/>
            </w:pPr>
            <w:r>
              <w:rPr>
                <w:rFonts w:ascii="Calibri" w:cs="Calibri" w:eastAsia="Calibri" w:hAnsi="Calibri"/>
                <w:sz w:val="20"/>
                <w:szCs w:val="20"/>
              </w:rPr>
              <w:t xml:space="preserve">4. ______________________________________</w:t>
            </w:r>
          </w:p>
          <w:p>
            <w:pPr>
              <w:spacing w:after="60" w:line="264"/>
            </w:pPr>
          </w:p>
          <w:p>
            <w:pPr>
              <w:spacing w:after="60" w:line="264"/>
            </w:pPr>
            <w:r>
              <w:rPr>
                <w:rFonts w:ascii="Calibri" w:cs="Calibri" w:eastAsia="Calibri" w:hAnsi="Calibri"/>
                <w:sz w:val="20"/>
                <w:szCs w:val="20"/>
              </w:rPr>
              <w:t xml:space="preserve">Validés avec : ______________________ (contrôle de gestion)   Date : ____ / ____ / ________</w:t>
            </w:r>
          </w:p>
        </w:tc>
      </w:tr>
    </w:tbl>
    <w:p>
      <w:pPr>
        <w:spacing w:after="120"/>
      </w:pPr>
    </w:p>
    <w:p>
      <w:pPr>
        <w:pStyle w:val="Heading2"/>
        <w:keepNext/>
        <w:spacing w:after="140" w:before="320"/>
      </w:pPr>
      <w:r>
        <w:rPr>
          <w:rFonts w:ascii="Calibri" w:cs="Calibri" w:eastAsia="Calibri" w:hAnsi="Calibri"/>
        </w:rPr>
        <w:t xml:space="preserve">1.3 Ce qu'il faut renoncer à mesurer</w:t>
      </w:r>
    </w:p>
    <w:p>
      <w:pPr>
        <w:spacing w:after="140" w:before="0" w:line="276"/>
      </w:pPr>
      <w:r>
        <w:rPr>
          <w:rFonts w:ascii="Calibri" w:cs="Calibri" w:eastAsia="Calibri" w:hAnsi="Calibri"/>
        </w:rPr>
        <w:t xml:space="preserve">Certains chiffres coûtent cher à produire et se retournent contre celui qui les présente. Trois renoncements assumés valent mieux qu'un tableau de bord fragile.</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2891"/>
        <w:gridCol w:w="6747"/>
      </w:tblGrid>
      <w:tr>
        <w:trPr>
          <w:cantSplit/>
          <w:tblHeader/>
        </w:trPr>
        <w:tc>
          <w:tcPr>
            <w:tcW w:type="dxa" w:w="2891"/>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Ce qu'on renonce à mesurer</w:t>
            </w:r>
          </w:p>
        </w:tc>
        <w:tc>
          <w:tcPr>
            <w:tcW w:type="dxa" w:w="6747"/>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Pourquoi, et par quoi le remplacer</w:t>
            </w:r>
          </w:p>
        </w:tc>
      </w:tr>
      <w:tr>
        <w:trPr>
          <w:cantSplit/>
          <w:tblHeader w:val="false"/>
        </w:trPr>
        <w:tc>
          <w:tcPr>
            <w:tcW w:type="dxa" w:w="2891"/>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La productivité individuelle</w:t>
            </w:r>
          </w:p>
        </w:tc>
        <w:tc>
          <w:tcPr>
            <w:tcW w:type="dxa" w:w="6747"/>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Mesurer l'usage de l'IA par personne et le relier à la performance individuelle transforme l'outil en instrument de contrôle, casse la confiance et fait chuter les déclarations. Mesurez par équipe ou par direction, jamais par personne nommée. C'est aussi ce qu'attendent les représentants du personnel.</w:t>
            </w:r>
          </w:p>
        </w:tc>
      </w:tr>
      <w:tr>
        <w:trPr>
          <w:cantSplit/>
          <w:tblHeader w:val="false"/>
        </w:trPr>
        <w:tc>
          <w:tcPr>
            <w:tcW w:type="dxa" w:w="2891"/>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La qualité intrinsèque des productions IA</w:t>
            </w:r>
          </w:p>
        </w:tc>
        <w:tc>
          <w:tcPr>
            <w:tcW w:type="dxa" w:w="6747"/>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Comparer la qualité d'un texte généré et d'un texte humain conduit à des débats sans fin. Mesurez plutôt le taux de reprise : la part des livrables générés qui repartent en correction lourde avant validation.</w:t>
            </w:r>
          </w:p>
        </w:tc>
      </w:tr>
      <w:tr>
        <w:trPr>
          <w:cantSplit/>
          <w:tblHeader w:val="false"/>
        </w:trPr>
        <w:tc>
          <w:tcPr>
            <w:tcW w:type="dxa" w:w="2891"/>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Le chiffre d'affaires directement attribuable</w:t>
            </w:r>
          </w:p>
        </w:tc>
        <w:tc>
          <w:tcPr>
            <w:tcW w:type="dxa" w:w="6747"/>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Sauf cas très particulier (un canal commercial isolé), l'IA n'est jamais la seule cause d'une variation de chiffre d'affaires. Suivez un indicateur de processus que le métier tient déjà (délai, volume traité, taux de complétude) et laissez la causalité en hypothèse.</w:t>
            </w:r>
          </w:p>
        </w:tc>
      </w:tr>
    </w:tbl>
    <w:p>
      <w:pPr>
        <w:spacing w:after="120"/>
      </w:pPr>
    </w:p>
    <w:p>
      <w:pPr>
        <w:pStyle w:val="Heading2"/>
        <w:keepNext/>
        <w:spacing w:after="140" w:before="320"/>
      </w:pPr>
      <w:r>
        <w:rPr>
          <w:rFonts w:ascii="Calibri" w:cs="Calibri" w:eastAsia="Calibri" w:hAnsi="Calibri"/>
        </w:rPr>
        <w:t xml:space="preserve">1.4 Le calendrier de la mesure</w:t>
      </w:r>
    </w:p>
    <w:p>
      <w:pPr>
        <w:spacing w:after="140" w:before="0" w:line="276"/>
      </w:pPr>
      <w:r>
        <w:rPr>
          <w:rFonts w:ascii="Calibri" w:cs="Calibri" w:eastAsia="Calibri" w:hAnsi="Calibri"/>
        </w:rPr>
        <w:t xml:space="preserve">La mesure a son propre rythme, plus lent que celui du projet. Voici la cadence que nous recommandons pour une première année ; elle tient en une demi-journée par mois pour le référent, et une journée par trimestre.</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1928"/>
        <w:gridCol w:w="2410"/>
        <w:gridCol w:w="5301"/>
      </w:tblGrid>
      <w:tr>
        <w:trPr>
          <w:cantSplit/>
          <w:tblHeader/>
        </w:trPr>
        <w:tc>
          <w:tcPr>
            <w:tcW w:type="dxa" w:w="1928"/>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Fréquence</w:t>
            </w:r>
          </w:p>
        </w:tc>
        <w:tc>
          <w:tcPr>
            <w:tcW w:type="dxa" w:w="2410"/>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Ce qu'on relève</w:t>
            </w:r>
          </w:p>
        </w:tc>
        <w:tc>
          <w:tcPr>
            <w:tcW w:type="dxa" w:w="5301"/>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Qui le fait et pour qui</w:t>
            </w:r>
          </w:p>
        </w:tc>
      </w:tr>
      <w:tr>
        <w:trPr>
          <w:cantSplit/>
          <w:tblHeader w:val="false"/>
        </w:trPr>
        <w:tc>
          <w:tcPr>
            <w:tcW w:type="dxa" w:w="1928"/>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Avant le déploiement</w:t>
            </w:r>
          </w:p>
        </w:tc>
        <w:tc>
          <w:tcPr>
            <w:tcW w:type="dxa" w:w="241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Point de départ des quatre familles : usage existant, cas d'usage connus, indicateur de processus des futurs pilotes, coûts engagés.</w:t>
            </w:r>
          </w:p>
        </w:tc>
        <w:tc>
          <w:tcPr>
            <w:tcW w:type="dxa" w:w="530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Le référent, avec l'administrateur de l'outil. Sert de référence toute l'année.</w:t>
            </w:r>
          </w:p>
        </w:tc>
      </w:tr>
      <w:tr>
        <w:trPr>
          <w:cantSplit/>
          <w:tblHeader w:val="false"/>
        </w:trPr>
        <w:tc>
          <w:tcPr>
            <w:tcW w:type="dxa" w:w="1928"/>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Mensuel</w:t>
            </w:r>
          </w:p>
        </w:tc>
        <w:tc>
          <w:tcPr>
            <w:tcW w:type="dxa" w:w="241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Adoption et usage (console d'administration), incidents, avancement des pilotes.</w:t>
            </w:r>
          </w:p>
        </w:tc>
        <w:tc>
          <w:tcPr>
            <w:tcW w:type="dxa" w:w="530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Le référent, présenté au comité IA mensuel.</w:t>
            </w:r>
          </w:p>
        </w:tc>
      </w:tr>
      <w:tr>
        <w:trPr>
          <w:cantSplit/>
          <w:tblHeader w:val="false"/>
        </w:trPr>
        <w:tc>
          <w:tcPr>
            <w:tcW w:type="dxa" w:w="1928"/>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Trimestriel</w:t>
            </w:r>
          </w:p>
        </w:tc>
        <w:tc>
          <w:tcPr>
            <w:tcW w:type="dxa" w:w="241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Baromètre auprès des collaborateurs (temps gagné déclaré, satisfaction, freins), adoption par direction.</w:t>
            </w:r>
          </w:p>
        </w:tc>
        <w:tc>
          <w:tcPr>
            <w:tcW w:type="dxa" w:w="530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Le référent, restitué aux directeurs et en revue trimestrielle.</w:t>
            </w:r>
          </w:p>
        </w:tc>
      </w:tr>
      <w:tr>
        <w:trPr>
          <w:cantSplit/>
          <w:tblHeader w:val="false"/>
        </w:trPr>
        <w:tc>
          <w:tcPr>
            <w:tcW w:type="dxa" w:w="1928"/>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À chaque pilote</w:t>
            </w:r>
          </w:p>
        </w:tc>
        <w:tc>
          <w:tcPr>
            <w:tcW w:type="dxa" w:w="241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Mesure avant / après sur l'indicateur de processus retenu, sur un échantillon décrit.</w:t>
            </w:r>
          </w:p>
        </w:tc>
        <w:tc>
          <w:tcPr>
            <w:tcW w:type="dxa" w:w="530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Le porteur du pilote, avec le référent.</w:t>
            </w:r>
          </w:p>
        </w:tc>
      </w:tr>
      <w:tr>
        <w:trPr>
          <w:cantSplit/>
          <w:tblHeader w:val="false"/>
        </w:trPr>
        <w:tc>
          <w:tcPr>
            <w:tcW w:type="dxa" w:w="1928"/>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Annuel</w:t>
            </w:r>
          </w:p>
        </w:tc>
        <w:tc>
          <w:tcPr>
            <w:tcW w:type="dxa" w:w="241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Coût complet, synthèse des gains, bilan et arbitrages.</w:t>
            </w:r>
          </w:p>
        </w:tc>
        <w:tc>
          <w:tcPr>
            <w:tcW w:type="dxa" w:w="530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Le référent avec le contrôle de gestion, présenté au comité de direction.</w:t>
            </w:r>
          </w:p>
        </w:tc>
      </w:tr>
    </w:tbl>
    <w:p>
      <w:pPr>
        <w:pStyle w:val="Heading1"/>
        <w:pageBreakBefore/>
        <w:spacing w:after="240" w:before="0"/>
      </w:pPr>
      <w:r>
        <w:rPr>
          <w:rFonts w:ascii="Calibri" w:cs="Calibri" w:eastAsia="Calibri" w:hAnsi="Calibri"/>
        </w:rPr>
        <w:t xml:space="preserve">2. Mesurer les usages</w:t>
      </w:r>
    </w:p>
    <w:p>
      <w:pPr>
        <w:spacing w:after="140" w:before="0" w:line="276"/>
      </w:pPr>
      <w:r>
        <w:rPr>
          <w:rFonts w:ascii="Calibri" w:cs="Calibri" w:eastAsia="Calibri" w:hAnsi="Calibri"/>
        </w:rPr>
        <w:t xml:space="preserve">Les indicateurs d'adoption sont les plus faciles à produire et les plus faciles à mal interpréter. Cette partie fixe les définitions, les sources et la manière de lire les écarts entre directions.</w:t>
      </w:r>
    </w:p>
    <w:p>
      <w:pPr>
        <w:pStyle w:val="Heading2"/>
        <w:keepNext/>
        <w:spacing w:after="140" w:before="320"/>
      </w:pPr>
      <w:r>
        <w:rPr>
          <w:rFonts w:ascii="Calibri" w:cs="Calibri" w:eastAsia="Calibri" w:hAnsi="Calibri"/>
        </w:rPr>
        <w:t xml:space="preserve">2.1 D'où viennent les chiffres</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2506"/>
        <w:gridCol w:w="3662"/>
        <w:gridCol w:w="3470"/>
      </w:tblGrid>
      <w:tr>
        <w:trPr>
          <w:cantSplit/>
          <w:tblHeader/>
        </w:trPr>
        <w:tc>
          <w:tcPr>
            <w:tcW w:type="dxa" w:w="2506"/>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Source</w:t>
            </w:r>
          </w:p>
        </w:tc>
        <w:tc>
          <w:tcPr>
            <w:tcW w:type="dxa" w:w="3662"/>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Ce qu'elle donne</w:t>
            </w:r>
          </w:p>
        </w:tc>
        <w:tc>
          <w:tcPr>
            <w:tcW w:type="dxa" w:w="3470"/>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Limites à connaître</w:t>
            </w:r>
          </w:p>
        </w:tc>
      </w:tr>
      <w:tr>
        <w:trPr>
          <w:cantSplit/>
          <w:tblHeader w:val="false"/>
        </w:trPr>
        <w:tc>
          <w:tcPr>
            <w:tcW w:type="dxa" w:w="2506"/>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Console d'administration de l'outil</w:t>
            </w:r>
          </w:p>
        </w:tc>
        <w:tc>
          <w:tcPr>
            <w:tcW w:type="dxa" w:w="366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Utilisateurs disposant d'une licence, utilisateurs actifs par période, volume d'interactions, parfois la répartition par application.</w:t>
            </w:r>
          </w:p>
        </w:tc>
        <w:tc>
          <w:tcPr>
            <w:tcW w:type="dxa" w:w="347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Les définitions d'« actif » varient d'un éditeur à l'autre et changent avec les versions. Notez la définition de l'éditeur à côté de votre propre définition.</w:t>
            </w:r>
          </w:p>
        </w:tc>
      </w:tr>
      <w:tr>
        <w:trPr>
          <w:cantSplit/>
          <w:tblHeader w:val="false"/>
        </w:trPr>
        <w:tc>
          <w:tcPr>
            <w:tcW w:type="dxa" w:w="2506"/>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Annuaire et SIRH</w:t>
            </w:r>
          </w:p>
        </w:tc>
        <w:tc>
          <w:tcPr>
            <w:tcW w:type="dxa" w:w="366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Effectif du périmètre, rattachement des personnes aux directions et aux sites, ce qui permet de calculer des taux.</w:t>
            </w:r>
          </w:p>
        </w:tc>
        <w:tc>
          <w:tcPr>
            <w:tcW w:type="dxa" w:w="347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La qualité du rattachement conditionne la lecture par direction : vérifiez-la avant de diffuser un classement.</w:t>
            </w:r>
          </w:p>
        </w:tc>
      </w:tr>
      <w:tr>
        <w:trPr>
          <w:cantSplit/>
          <w:tblHeader w:val="false"/>
        </w:trPr>
        <w:tc>
          <w:tcPr>
            <w:tcW w:type="dxa" w:w="2506"/>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Registre de formation</w:t>
            </w:r>
          </w:p>
        </w:tc>
        <w:tc>
          <w:tcPr>
            <w:tcW w:type="dxa" w:w="366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Nombre de personnes formées par population et par format, taux de complétion des parcours.</w:t>
            </w:r>
          </w:p>
        </w:tc>
        <w:tc>
          <w:tcPr>
            <w:tcW w:type="dxa" w:w="347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À tenir dès la première session, notamment au titre de l'article 4 de l'AI Act sur la maîtrise de l'IA.</w:t>
            </w:r>
          </w:p>
        </w:tc>
      </w:tr>
      <w:tr>
        <w:trPr>
          <w:cantSplit/>
          <w:tblHeader w:val="false"/>
        </w:trPr>
        <w:tc>
          <w:tcPr>
            <w:tcW w:type="dxa" w:w="2506"/>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Bibliothèque interne de cas d'usage</w:t>
            </w:r>
          </w:p>
        </w:tc>
        <w:tc>
          <w:tcPr>
            <w:tcW w:type="dxa" w:w="366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Nombre de prompts, assistants et agents partagés, leur réutilisation, leurs auteurs.</w:t>
            </w:r>
          </w:p>
        </w:tc>
        <w:tc>
          <w:tcPr>
            <w:tcW w:type="dxa" w:w="347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Ne mesure que ce qui est partagé : une équipe très avancée mais discrète apparaît inactive.</w:t>
            </w:r>
          </w:p>
        </w:tc>
      </w:tr>
      <w:tr>
        <w:trPr>
          <w:cantSplit/>
          <w:tblHeader w:val="false"/>
        </w:trPr>
        <w:tc>
          <w:tcPr>
            <w:tcW w:type="dxa" w:w="2506"/>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Baromètre trimestriel</w:t>
            </w:r>
          </w:p>
        </w:tc>
        <w:tc>
          <w:tcPr>
            <w:tcW w:type="dxa" w:w="366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Temps gagné déclaré, freins, satisfaction, usages non outillés (comptes personnels).</w:t>
            </w:r>
          </w:p>
        </w:tc>
        <w:tc>
          <w:tcPr>
            <w:tcW w:type="dxa" w:w="347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Déclaratif, donc biaisé. C'est sa stabilité dans le temps qui le rend utile, pas sa valeur absolue.</w:t>
            </w:r>
          </w:p>
        </w:tc>
      </w:tr>
    </w:tbl>
    <w:p>
      <w:pPr>
        <w:spacing w:after="120"/>
      </w:pPr>
    </w:p>
    <w:p>
      <w:pPr>
        <w:pStyle w:val="Heading2"/>
        <w:keepNext/>
        <w:spacing w:after="140" w:before="320"/>
      </w:pPr>
      <w:r>
        <w:rPr>
          <w:rFonts w:ascii="Calibri" w:cs="Calibri" w:eastAsia="Calibri" w:hAnsi="Calibri"/>
        </w:rPr>
        <w:t xml:space="preserve">2.2 Définir « utilisateur actif » une fois pour toutes</w:t>
      </w:r>
    </w:p>
    <w:p>
      <w:pPr>
        <w:spacing w:after="140" w:before="0" w:line="276"/>
      </w:pPr>
      <w:r>
        <w:rPr>
          <w:rFonts w:ascii="Calibri" w:cs="Calibri" w:eastAsia="Calibri" w:hAnsi="Calibri"/>
        </w:rPr>
        <w:t xml:space="preserve">C'est la définition la plus discutée et la plus rentable à écrire. Nous recommandons la formulation suivante, à adapter puis à figer pour l'année :</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c>
          <w:tcPr>
            <w:tcW w:type="dxa" w:w="9638"/>
            <w:tcBorders>
              <w:top w:val="none" w:color="FFFFFF" w:sz="0"/>
              <w:left w:val="single" w:color="1F5FBF" w:sz="24"/>
              <w:bottom w:val="none" w:color="FFFFFF" w:sz="0"/>
              <w:right w:val="none" w:color="FFFFFF" w:sz="0"/>
            </w:tcBorders>
            <w:shd w:fill="EAF1FB" w:color="auto" w:val="clear"/>
            <w:tcMar>
              <w:top w:type="dxa" w:w="140"/>
              <w:left w:type="dxa" w:w="200"/>
              <w:bottom w:type="dxa" w:w="100"/>
              <w:right w:type="dxa" w:w="200"/>
            </w:tcMar>
          </w:tcPr>
          <w:p>
            <w:pPr>
              <w:spacing w:after="80"/>
            </w:pPr>
            <w:r>
              <w:rPr>
                <w:rFonts w:ascii="Calibri" w:cs="Calibri" w:eastAsia="Calibri" w:hAnsi="Calibri"/>
                <w:b/>
                <w:bCs/>
                <w:color w:val="0F2D5E"/>
                <w:sz w:val="21"/>
                <w:szCs w:val="21"/>
              </w:rPr>
              <w:t xml:space="preserve">Définition recommandée</w:t>
            </w:r>
          </w:p>
          <w:p>
            <w:pPr>
              <w:spacing w:after="60" w:line="264"/>
            </w:pPr>
            <w:r>
              <w:rPr>
                <w:rFonts w:ascii="Calibri" w:cs="Calibri" w:eastAsia="Calibri" w:hAnsi="Calibri"/>
                <w:b/>
                <w:bCs/>
                <w:sz w:val="20"/>
                <w:szCs w:val="20"/>
              </w:rPr>
              <w:t xml:space="preserve">Utilisateur actif hebdomadaire</w:t>
            </w:r>
            <w:r>
              <w:rPr>
                <w:rFonts w:ascii="Calibri" w:cs="Calibri" w:eastAsia="Calibri" w:hAnsi="Calibri"/>
                <w:sz w:val="20"/>
                <w:szCs w:val="20"/>
              </w:rPr>
              <w:t xml:space="preserve"> : personne du périmètre ayant réalisé au moins trois interactions avec l'outil de référence au cours d'une semaine calendaire donnée, rapportée à l'effectif du périmètre disposant d'une licence.</w:t>
            </w:r>
          </w:p>
          <w:p>
            <w:pPr>
              <w:spacing w:after="60" w:line="264"/>
            </w:pPr>
            <w:r>
              <w:rPr>
                <w:rFonts w:ascii="Calibri" w:cs="Calibri" w:eastAsia="Calibri" w:hAnsi="Calibri"/>
                <w:sz w:val="20"/>
                <w:szCs w:val="20"/>
              </w:rPr>
              <w:t xml:space="preserve">Le seuil de trois interactions écarte l'ouverture accidentelle sans exclure l'usage ponctuel mais réel. Le dénominateur retenu est l'effectif disposant d'une licence, et non l'effectif total : le taux d'équipement se suit séparément.</w:t>
            </w:r>
          </w:p>
        </w:tc>
      </w:tr>
    </w:tbl>
    <w:p>
      <w:pPr>
        <w:spacing w:after="120"/>
      </w:pPr>
    </w:p>
    <w:p>
      <w:pPr>
        <w:spacing w:after="140" w:before="0" w:line="276"/>
      </w:pPr>
      <w:r>
        <w:rPr>
          <w:rFonts w:ascii="Calibri" w:cs="Calibri" w:eastAsia="Calibri" w:hAnsi="Calibri"/>
        </w:rPr>
        <w:t xml:space="preserve">Trois taux cohabitent et doivent être distingués dans toute présentation, sous peine de confusion :</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2313"/>
        <w:gridCol w:w="3662"/>
        <w:gridCol w:w="3662"/>
      </w:tblGrid>
      <w:tr>
        <w:trPr>
          <w:cantSplit/>
          <w:tblHeader/>
        </w:trPr>
        <w:tc>
          <w:tcPr>
            <w:tcW w:type="dxa" w:w="2313"/>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Taux</w:t>
            </w:r>
          </w:p>
        </w:tc>
        <w:tc>
          <w:tcPr>
            <w:tcW w:type="dxa" w:w="3662"/>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Formule</w:t>
            </w:r>
          </w:p>
        </w:tc>
        <w:tc>
          <w:tcPr>
            <w:tcW w:type="dxa" w:w="3662"/>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Ce qu'il dit</w:t>
            </w:r>
          </w:p>
        </w:tc>
      </w:tr>
      <w:tr>
        <w:trPr>
          <w:cantSplit/>
          <w:tblHeader w:val="false"/>
        </w:trPr>
        <w:tc>
          <w:tcPr>
            <w:tcW w:type="dxa" w:w="2313"/>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Taux d'équipement</w:t>
            </w:r>
          </w:p>
        </w:tc>
        <w:tc>
          <w:tcPr>
            <w:tcW w:type="dxa" w:w="366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Licences attribuées ÷ effectif du périmètre.</w:t>
            </w:r>
          </w:p>
        </w:tc>
        <w:tc>
          <w:tcPr>
            <w:tcW w:type="dxa" w:w="366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Où en est le déploiement technique. Monte vite, puis stagne.</w:t>
            </w:r>
          </w:p>
        </w:tc>
      </w:tr>
      <w:tr>
        <w:trPr>
          <w:cantSplit/>
          <w:tblHeader w:val="false"/>
        </w:trPr>
        <w:tc>
          <w:tcPr>
            <w:tcW w:type="dxa" w:w="2313"/>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Taux d'activation</w:t>
            </w:r>
          </w:p>
        </w:tc>
        <w:tc>
          <w:tcPr>
            <w:tcW w:type="dxa" w:w="366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Personnes ayant utilisé l'outil au moins une fois ÷ licences attribuées.</w:t>
            </w:r>
          </w:p>
        </w:tc>
        <w:tc>
          <w:tcPr>
            <w:tcW w:type="dxa" w:w="366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Si l'outil a été essayé. Un écart durable signale un problème d'accès ou d'information.</w:t>
            </w:r>
          </w:p>
        </w:tc>
      </w:tr>
      <w:tr>
        <w:trPr>
          <w:cantSplit/>
          <w:tblHeader w:val="false"/>
        </w:trPr>
        <w:tc>
          <w:tcPr>
            <w:tcW w:type="dxa" w:w="2313"/>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Taux d'usage régulier</w:t>
            </w:r>
          </w:p>
        </w:tc>
        <w:tc>
          <w:tcPr>
            <w:tcW w:type="dxa" w:w="366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Utilisateurs actifs hebdomadaires ÷ licences attribuées.</w:t>
            </w:r>
          </w:p>
        </w:tc>
        <w:tc>
          <w:tcPr>
            <w:tcW w:type="dxa" w:w="366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Le seul qui reflète une pratique installée. C'est le chiffre à présenter au comité de direction.</w:t>
            </w:r>
          </w:p>
        </w:tc>
      </w:tr>
    </w:tbl>
    <w:p>
      <w:pPr>
        <w:spacing w:after="120"/>
      </w:pPr>
    </w:p>
    <w:p>
      <w:pPr>
        <w:pStyle w:val="Heading2"/>
        <w:keepNext/>
        <w:spacing w:after="140" w:before="320"/>
      </w:pPr>
      <w:r>
        <w:rPr>
          <w:rFonts w:ascii="Calibri" w:cs="Calibri" w:eastAsia="Calibri" w:hAnsi="Calibri"/>
        </w:rPr>
        <w:t xml:space="preserve">2.3 Lire l'adoption par direction</w:t>
      </w:r>
    </w:p>
    <w:p>
      <w:pPr>
        <w:spacing w:after="140" w:before="0" w:line="276"/>
      </w:pPr>
      <w:r>
        <w:rPr>
          <w:rFonts w:ascii="Calibri" w:cs="Calibri" w:eastAsia="Calibri" w:hAnsi="Calibri"/>
        </w:rPr>
        <w:t xml:space="preserve">La moyenne de l'organisation cache toujours des écarts de un à cinq entre directions. C'est cette dispersion qui est actionnable, pas la moyenne. Présentez les directions par ordre décroissant de taux d'usage régulier, avec pour chacune le nombre d'ambassadeurs et le nombre de sessions de formation réalisées : le lien apparaît de lui-même et évite les longs discours.</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3277"/>
        <w:gridCol w:w="6361"/>
      </w:tblGrid>
      <w:tr>
        <w:trPr>
          <w:cantSplit/>
          <w:tblHeader/>
        </w:trPr>
        <w:tc>
          <w:tcPr>
            <w:tcW w:type="dxa" w:w="3277"/>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Configuration observée</w:t>
            </w:r>
          </w:p>
        </w:tc>
        <w:tc>
          <w:tcPr>
            <w:tcW w:type="dxa" w:w="6361"/>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Lecture et action</w:t>
            </w:r>
          </w:p>
        </w:tc>
      </w:tr>
      <w:tr>
        <w:trPr>
          <w:cantSplit/>
          <w:tblHeader w:val="false"/>
        </w:trPr>
        <w:tc>
          <w:tcPr>
            <w:tcW w:type="dxa" w:w="3277"/>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Usage fort, formation forte, ambassadeur présent</w:t>
            </w:r>
          </w:p>
        </w:tc>
        <w:tc>
          <w:tcPr>
            <w:tcW w:type="dxa" w:w="636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Le dispositif fonctionne. Allez y chercher les cas d'usage à diffuser ailleurs et des ambassadeurs pour la promotion suivante.</w:t>
            </w:r>
          </w:p>
        </w:tc>
      </w:tr>
      <w:tr>
        <w:trPr>
          <w:cantSplit/>
          <w:tblHeader w:val="false"/>
        </w:trPr>
        <w:tc>
          <w:tcPr>
            <w:tcW w:type="dxa" w:w="3277"/>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Usage faible, formation forte</w:t>
            </w:r>
          </w:p>
        </w:tc>
        <w:tc>
          <w:tcPr>
            <w:tcW w:type="dxa" w:w="636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Le problème n'est pas la compétence : cherchez du côté de l'accès aux outils, de la charge de travail, ou d'un management qui n'a pas relayé. Entretien avec le directeur.</w:t>
            </w:r>
          </w:p>
        </w:tc>
      </w:tr>
      <w:tr>
        <w:trPr>
          <w:cantSplit/>
          <w:tblHeader w:val="false"/>
        </w:trPr>
        <w:tc>
          <w:tcPr>
            <w:tcW w:type="dxa" w:w="3277"/>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Usage faible, formation faible</w:t>
            </w:r>
          </w:p>
        </w:tc>
        <w:tc>
          <w:tcPr>
            <w:tcW w:type="dxa" w:w="636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Direction simplement non servie. Programmez une vague de formation métier et recrutez un ambassadeur avant toute autre action.</w:t>
            </w:r>
          </w:p>
        </w:tc>
      </w:tr>
      <w:tr>
        <w:trPr>
          <w:cantSplit/>
          <w:tblHeader w:val="false"/>
        </w:trPr>
        <w:tc>
          <w:tcPr>
            <w:tcW w:type="dxa" w:w="3277"/>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Usage fort, formation faible</w:t>
            </w:r>
          </w:p>
        </w:tc>
        <w:tc>
          <w:tcPr>
            <w:tcW w:type="dxa" w:w="636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Usage spontané, souvent avec des comptes personnels. Priorité : équiper et encadrer vite, avant que des habitudes hors cadre s'installent.</w:t>
            </w:r>
          </w:p>
        </w:tc>
      </w:tr>
    </w:tbl>
    <w:p>
      <w:pPr>
        <w:spacing w:after="120"/>
      </w:pPr>
    </w:p>
    <w:p>
      <w:pPr>
        <w:pStyle w:val="Heading2"/>
        <w:keepNext/>
        <w:spacing w:after="140" w:before="320"/>
      </w:pPr>
      <w:r>
        <w:rPr>
          <w:rFonts w:ascii="Calibri" w:cs="Calibri" w:eastAsia="Calibri" w:hAnsi="Calibri"/>
        </w:rPr>
        <w:t xml:space="preserve">2.4 Compter les usages, pas seulement les utilisateurs</w:t>
      </w:r>
    </w:p>
    <w:p>
      <w:pPr>
        <w:spacing w:after="140" w:before="0" w:line="276"/>
      </w:pPr>
      <w:r>
        <w:rPr>
          <w:rFonts w:ascii="Calibri" w:cs="Calibri" w:eastAsia="Calibri" w:hAnsi="Calibri"/>
        </w:rPr>
        <w:t xml:space="preserve">Le nombre de cas d'usage documentés et réutilisés est le meilleur indicateur avancé de la valeur : il monte avant les gains mesurés et redescend avant eux. Trois chiffres suffisent, relevés dans la bibliothèque interne : le nombre de cas d'usage publiés, la part de ceux qui ont été réutilisés par une autre équipe que celle qui les a créés, et le nombre de directions représentées. Un catalogue de soixante cas d'usage tous produits par la même direction vaut moins qu'un catalogue de vingt cas répartis sur huit directions.</w:t>
      </w:r>
    </w:p>
    <w:p>
      <w:pPr>
        <w:pStyle w:val="Heading1"/>
        <w:pageBreakBefore/>
        <w:spacing w:after="240" w:before="0"/>
      </w:pPr>
      <w:r>
        <w:rPr>
          <w:rFonts w:ascii="Calibri" w:cs="Calibri" w:eastAsia="Calibri" w:hAnsi="Calibri"/>
        </w:rPr>
        <w:t xml:space="preserve">3. Mesurer la valeur</w:t>
      </w:r>
    </w:p>
    <w:p>
      <w:pPr>
        <w:spacing w:after="140" w:before="0" w:line="276"/>
      </w:pPr>
      <w:r>
        <w:rPr>
          <w:rFonts w:ascii="Calibri" w:cs="Calibri" w:eastAsia="Calibri" w:hAnsi="Calibri"/>
        </w:rPr>
        <w:t xml:space="preserve">Trois méthodes, du plus simple au plus rigoureux. Elles ne s'excluent pas : la première donne la tendance générale, la deuxième la preuve, la troisième le suivi durable. Une organisation sérieuse utilise les trois, sur des périmètres différents.</w:t>
      </w:r>
    </w:p>
    <w:p>
      <w:pPr>
        <w:pStyle w:val="Heading2"/>
        <w:keepNext/>
        <w:spacing w:after="140" w:before="320"/>
      </w:pPr>
      <w:r>
        <w:rPr>
          <w:rFonts w:ascii="Calibri" w:cs="Calibri" w:eastAsia="Calibri" w:hAnsi="Calibri"/>
        </w:rPr>
        <w:t xml:space="preserve">3.1 Méthode 1 : le déclaratif encadré</w:t>
      </w:r>
    </w:p>
    <w:p>
      <w:pPr>
        <w:spacing w:after="140" w:before="0" w:line="276"/>
      </w:pPr>
      <w:r>
        <w:rPr>
          <w:rFonts w:ascii="Calibri" w:cs="Calibri" w:eastAsia="Calibri" w:hAnsi="Calibri"/>
        </w:rPr>
        <w:t xml:space="preserve">Une question unique dans le baromètre trimestriel, posée à l'identique à chaque vague : « Sur une semaine de travail typique, combien de temps estimez-vous gagner grâce aux outils d'IA mis à votre disposition ? » avec des tranches (moins de 30 minutes, 30 minutes à 1 heure, 1 à 2 heures, 2 à 4 heures, 4 à 8 heures, plus de 8 heures). On retient la médiane des utilisateurs réguliers, pas la moyenne, qui est tirée vers le haut par quelques enthousiastes.</w:t>
      </w:r>
    </w:p>
    <w:p>
      <w:pPr>
        <w:spacing w:after="140" w:before="0" w:line="276"/>
      </w:pPr>
      <w:r>
        <w:rPr>
          <w:rFonts w:ascii="Calibri" w:cs="Calibri" w:eastAsia="Calibri" w:hAnsi="Calibri"/>
        </w:rPr>
        <w:t xml:space="preserve">Le déclaratif surestime. C'est établi, et ce n'est pas un problème tant qu'on l'assume et qu'on le corrige. Nous recommandons d'appliquer une décote de 50 % au temps déclaré pour toute conversion économique, et de présenter les deux chiffres : le déclaré et le retenu. Un comité de direction accorde plus de crédit à un porteur qui décote lui-même ses chiffres qu'à un porteur qui les défend.</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c>
          <w:tcPr>
            <w:tcW w:type="dxa" w:w="9638"/>
            <w:tcBorders>
              <w:top w:val="none" w:color="FFFFFF" w:sz="0"/>
              <w:left w:val="single" w:color="1F5FBF" w:sz="24"/>
              <w:bottom w:val="none" w:color="FFFFFF" w:sz="0"/>
              <w:right w:val="none" w:color="FFFFFF" w:sz="0"/>
            </w:tcBorders>
            <w:shd w:fill="EAF1FB" w:color="auto" w:val="clear"/>
            <w:tcMar>
              <w:top w:type="dxa" w:w="140"/>
              <w:left w:type="dxa" w:w="200"/>
              <w:bottom w:type="dxa" w:w="100"/>
              <w:right w:type="dxa" w:w="200"/>
            </w:tcMar>
          </w:tcPr>
          <w:p>
            <w:pPr>
              <w:spacing w:after="80"/>
            </w:pPr>
            <w:r>
              <w:rPr>
                <w:rFonts w:ascii="Calibri" w:cs="Calibri" w:eastAsia="Calibri" w:hAnsi="Calibri"/>
                <w:b/>
                <w:bCs/>
                <w:color w:val="0F2D5E"/>
                <w:sz w:val="21"/>
                <w:szCs w:val="21"/>
              </w:rPr>
              <w:t xml:space="preserve">À quoi sert vraiment le déclaratif</w:t>
            </w:r>
          </w:p>
          <w:p>
            <w:pPr>
              <w:spacing w:after="60" w:line="264"/>
            </w:pPr>
            <w:r>
              <w:rPr>
                <w:rFonts w:ascii="Calibri" w:cs="Calibri" w:eastAsia="Calibri" w:hAnsi="Calibri"/>
                <w:sz w:val="20"/>
                <w:szCs w:val="20"/>
              </w:rPr>
              <w:t xml:space="preserve">Il ne prouve pas un gain, il mesure une perception et surtout son évolution. Trois vagues de baromètre montrant une médiane qui passe de 30 minutes à 1 heure puis à 2 heures racontent une adoption qui s'approfondit : c'est cette trajectoire, plus que la valeur absolue, qui intéresse le comité de direction.</w:t>
            </w:r>
          </w:p>
        </w:tc>
      </w:tr>
    </w:tbl>
    <w:p>
      <w:pPr>
        <w:spacing w:after="120"/>
      </w:pPr>
    </w:p>
    <w:p>
      <w:pPr>
        <w:pStyle w:val="Heading2"/>
        <w:keepNext/>
        <w:spacing w:after="140" w:before="320"/>
      </w:pPr>
      <w:r>
        <w:rPr>
          <w:rFonts w:ascii="Calibri" w:cs="Calibri" w:eastAsia="Calibri" w:hAnsi="Calibri"/>
        </w:rPr>
        <w:t xml:space="preserve">3.2 Méthode 2 : la mesure avant / après sur un pilote</w:t>
      </w:r>
    </w:p>
    <w:p>
      <w:pPr>
        <w:spacing w:after="140" w:before="0" w:line="276"/>
      </w:pPr>
      <w:r>
        <w:rPr>
          <w:rFonts w:ascii="Calibri" w:cs="Calibri" w:eastAsia="Calibri" w:hAnsi="Calibri"/>
        </w:rPr>
        <w:t xml:space="preserve">C'est la méthode qui convainc. Elle demande deux à trois jours de travail au total et produit le seul chiffre vraiment défendable de l'année. Elle s'applique à un pilote, sur une tâche répétitive dont le résultat est comparable d'une occurrence à l'autre.</w:t>
      </w:r>
    </w:p>
    <w:p>
      <w:pPr>
        <w:pStyle w:val="Heading3"/>
        <w:keepNext/>
        <w:spacing w:after="100" w:before="220"/>
      </w:pPr>
      <w:r>
        <w:rPr>
          <w:rFonts w:ascii="Calibri" w:cs="Calibri" w:eastAsia="Calibri" w:hAnsi="Calibri"/>
        </w:rPr>
        <w:t xml:space="preserve">Le protocole en sept étapes</w:t>
      </w:r>
    </w:p>
    <w:p>
      <w:pPr>
        <w:pStyle w:val="ListParagraph"/>
        <w:numPr>
          <w:ilvl w:val="0"/>
          <w:numId w:val="2"/>
        </w:numPr>
        <w:spacing w:after="80" w:line="276"/>
      </w:pPr>
      <w:r>
        <w:rPr>
          <w:rFonts w:ascii="Calibri" w:cs="Calibri" w:eastAsia="Calibri" w:hAnsi="Calibri"/>
          <w:b/>
          <w:bCs/>
        </w:rPr>
        <w:t xml:space="preserve">Choisir la tâche.</w:t>
      </w:r>
      <w:r>
        <w:rPr>
          <w:rFonts w:ascii="Calibri" w:cs="Calibri" w:eastAsia="Calibri" w:hAnsi="Calibri"/>
        </w:rPr>
        <w:t xml:space="preserve"> Répétitive, fréquente (au moins dix fois par mois), avec un livrable identifiable : une réponse à une demande client, un compte rendu, une note d'analyse, une fiche de poste, une synthèse de dossier.</w:t>
      </w:r>
    </w:p>
    <w:p>
      <w:pPr>
        <w:pStyle w:val="ListParagraph"/>
        <w:numPr>
          <w:ilvl w:val="0"/>
          <w:numId w:val="2"/>
        </w:numPr>
        <w:spacing w:after="80" w:line="276"/>
      </w:pPr>
      <w:r>
        <w:rPr>
          <w:rFonts w:ascii="Calibri" w:cs="Calibri" w:eastAsia="Calibri" w:hAnsi="Calibri"/>
          <w:b/>
          <w:bCs/>
        </w:rPr>
        <w:t xml:space="preserve">Définir l'unité de mesure.</w:t>
      </w:r>
      <w:r>
        <w:rPr>
          <w:rFonts w:ascii="Calibri" w:cs="Calibri" w:eastAsia="Calibri" w:hAnsi="Calibri"/>
        </w:rPr>
        <w:t xml:space="preserve"> Le temps de production d'un livrable, du début du travail à l'envoi pour validation. Écrivez ce qui est inclus et exclu (la recherche d'information ? la relecture ? les allers-retours ?).</w:t>
      </w:r>
    </w:p>
    <w:p>
      <w:pPr>
        <w:pStyle w:val="ListParagraph"/>
        <w:numPr>
          <w:ilvl w:val="0"/>
          <w:numId w:val="2"/>
        </w:numPr>
        <w:spacing w:after="80" w:line="276"/>
      </w:pPr>
      <w:r>
        <w:rPr>
          <w:rFonts w:ascii="Calibri" w:cs="Calibri" w:eastAsia="Calibri" w:hAnsi="Calibri"/>
          <w:b/>
          <w:bCs/>
        </w:rPr>
        <w:t xml:space="preserve">Relever l'avant.</w:t>
      </w:r>
      <w:r>
        <w:rPr>
          <w:rFonts w:ascii="Calibri" w:cs="Calibri" w:eastAsia="Calibri" w:hAnsi="Calibri"/>
        </w:rPr>
        <w:t xml:space="preserve"> Sur un échantillon d'au moins quinze livrables produits sans IA, notez le temps passé. Le relevé se fait au fil de l'eau par les personnes concernées, dans un tableau simple, pendant deux à trois semaines.</w:t>
      </w:r>
    </w:p>
    <w:p>
      <w:pPr>
        <w:pStyle w:val="ListParagraph"/>
        <w:numPr>
          <w:ilvl w:val="0"/>
          <w:numId w:val="2"/>
        </w:numPr>
        <w:spacing w:after="80" w:line="276"/>
      </w:pPr>
      <w:r>
        <w:rPr>
          <w:rFonts w:ascii="Calibri" w:cs="Calibri" w:eastAsia="Calibri" w:hAnsi="Calibri"/>
          <w:b/>
          <w:bCs/>
        </w:rPr>
        <w:t xml:space="preserve">Former et équiper.</w:t>
      </w:r>
      <w:r>
        <w:rPr>
          <w:rFonts w:ascii="Calibri" w:cs="Calibri" w:eastAsia="Calibri" w:hAnsi="Calibri"/>
        </w:rPr>
        <w:t xml:space="preserve"> Les mêmes personnes, sur la même tâche, avec l'outil et le prompt ou l'assistant retenu. Laissez deux semaines de prise en main avant de mesurer : mesurer pendant l'apprentissage sous-estime le gain.</w:t>
      </w:r>
    </w:p>
    <w:p>
      <w:pPr>
        <w:pStyle w:val="ListParagraph"/>
        <w:numPr>
          <w:ilvl w:val="0"/>
          <w:numId w:val="2"/>
        </w:numPr>
        <w:spacing w:after="80" w:line="276"/>
      </w:pPr>
      <w:r>
        <w:rPr>
          <w:rFonts w:ascii="Calibri" w:cs="Calibri" w:eastAsia="Calibri" w:hAnsi="Calibri"/>
          <w:b/>
          <w:bCs/>
        </w:rPr>
        <w:t xml:space="preserve">Relever l'après.</w:t>
      </w:r>
      <w:r>
        <w:rPr>
          <w:rFonts w:ascii="Calibri" w:cs="Calibri" w:eastAsia="Calibri" w:hAnsi="Calibri"/>
        </w:rPr>
        <w:t xml:space="preserve"> Même échantillon de taille, même méthode de relevé, même période de l'année si possible (un mois de clôture n'est pas comparable à un mois creux).</w:t>
      </w:r>
    </w:p>
    <w:p>
      <w:pPr>
        <w:pStyle w:val="ListParagraph"/>
        <w:numPr>
          <w:ilvl w:val="0"/>
          <w:numId w:val="2"/>
        </w:numPr>
        <w:spacing w:after="80" w:line="276"/>
      </w:pPr>
      <w:r>
        <w:rPr>
          <w:rFonts w:ascii="Calibri" w:cs="Calibri" w:eastAsia="Calibri" w:hAnsi="Calibri"/>
          <w:b/>
          <w:bCs/>
        </w:rPr>
        <w:t xml:space="preserve">Contrôler la qualité.</w:t>
      </w:r>
      <w:r>
        <w:rPr>
          <w:rFonts w:ascii="Calibri" w:cs="Calibri" w:eastAsia="Calibri" w:hAnsi="Calibri"/>
        </w:rPr>
        <w:t xml:space="preserve"> Faites relire à l'aveugle un échantillon de livrables d'avant et d'après par le valideur habituel, qui note chacun sur une échelle simple. Un gain de temps obtenu au prix d'une baisse de qualité n'est pas un gain.</w:t>
      </w:r>
    </w:p>
    <w:p>
      <w:pPr>
        <w:pStyle w:val="ListParagraph"/>
        <w:numPr>
          <w:ilvl w:val="0"/>
          <w:numId w:val="2"/>
        </w:numPr>
        <w:spacing w:after="80" w:line="276"/>
      </w:pPr>
      <w:r>
        <w:rPr>
          <w:rFonts w:ascii="Calibri" w:cs="Calibri" w:eastAsia="Calibri" w:hAnsi="Calibri"/>
          <w:b/>
          <w:bCs/>
        </w:rPr>
        <w:t xml:space="preserve">Écrire le résultat.</w:t>
      </w:r>
      <w:r>
        <w:rPr>
          <w:rFonts w:ascii="Calibri" w:cs="Calibri" w:eastAsia="Calibri" w:hAnsi="Calibri"/>
        </w:rPr>
        <w:t xml:space="preserve"> Temps moyen avant, temps moyen après, écart en pourcentage, taille des échantillons, période, qui a mesuré, ce qui a été exclu, et la qualité constatée. Une page suffit ; c'est cette page qui circulera.</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c>
          <w:tcPr>
            <w:tcW w:type="dxa" w:w="9638"/>
            <w:tcBorders>
              <w:top w:val="none" w:color="FFFFFF" w:sz="0"/>
              <w:left w:val="single" w:color="1F5FBF" w:sz="24"/>
              <w:bottom w:val="none" w:color="FFFFFF" w:sz="0"/>
              <w:right w:val="none" w:color="FFFFFF" w:sz="0"/>
            </w:tcBorders>
            <w:shd w:fill="EAF1FB" w:color="auto" w:val="clear"/>
            <w:tcMar>
              <w:top w:type="dxa" w:w="140"/>
              <w:left w:type="dxa" w:w="200"/>
              <w:bottom w:type="dxa" w:w="100"/>
              <w:right w:type="dxa" w:w="200"/>
            </w:tcMar>
          </w:tcPr>
          <w:p>
            <w:pPr>
              <w:spacing w:after="80"/>
            </w:pPr>
            <w:r>
              <w:rPr>
                <w:rFonts w:ascii="Calibri" w:cs="Calibri" w:eastAsia="Calibri" w:hAnsi="Calibri"/>
                <w:b/>
                <w:bCs/>
                <w:color w:val="0F2D5E"/>
                <w:sz w:val="21"/>
                <w:szCs w:val="21"/>
              </w:rPr>
              <w:t xml:space="preserve">Les quatre pièges du avant / après</w:t>
            </w:r>
          </w:p>
          <w:p>
            <w:pPr>
              <w:spacing w:after="60" w:line="264"/>
            </w:pPr>
            <w:r>
              <w:rPr>
                <w:rFonts w:ascii="Calibri" w:cs="Calibri" w:eastAsia="Calibri" w:hAnsi="Calibri"/>
                <w:b/>
                <w:bCs/>
                <w:sz w:val="20"/>
                <w:szCs w:val="20"/>
              </w:rPr>
              <w:t xml:space="preserve">L'effet nouveauté</w:t>
            </w:r>
            <w:r>
              <w:rPr>
                <w:rFonts w:ascii="Calibri" w:cs="Calibri" w:eastAsia="Calibri" w:hAnsi="Calibri"/>
                <w:sz w:val="20"/>
                <w:szCs w:val="20"/>
              </w:rPr>
              <w:t xml:space="preserve"> : les premières semaines, les gens s'appliquent. Mesurez après la période de prise en main, et refaites un relevé à six mois.</w:t>
            </w:r>
          </w:p>
          <w:p>
            <w:pPr>
              <w:spacing w:after="60" w:line="264"/>
            </w:pPr>
            <w:r>
              <w:rPr>
                <w:rFonts w:ascii="Calibri" w:cs="Calibri" w:eastAsia="Calibri" w:hAnsi="Calibri"/>
                <w:b/>
                <w:bCs/>
                <w:sz w:val="20"/>
                <w:szCs w:val="20"/>
              </w:rPr>
              <w:t xml:space="preserve">Le changement de périmètre</w:t>
            </w:r>
            <w:r>
              <w:rPr>
                <w:rFonts w:ascii="Calibri" w:cs="Calibri" w:eastAsia="Calibri" w:hAnsi="Calibri"/>
                <w:sz w:val="20"/>
                <w:szCs w:val="20"/>
              </w:rPr>
              <w:t xml:space="preserve"> : si la tâche elle-même change entre l'avant et l'après (nouveau modèle de document, nouvelle exigence), la comparaison ne vaut plus. Notez tout changement.</w:t>
            </w:r>
          </w:p>
          <w:p>
            <w:pPr>
              <w:spacing w:after="60" w:line="264"/>
            </w:pPr>
            <w:r>
              <w:rPr>
                <w:rFonts w:ascii="Calibri" w:cs="Calibri" w:eastAsia="Calibri" w:hAnsi="Calibri"/>
                <w:b/>
                <w:bCs/>
                <w:sz w:val="20"/>
                <w:szCs w:val="20"/>
              </w:rPr>
              <w:t xml:space="preserve">L'auto-sélection</w:t>
            </w:r>
            <w:r>
              <w:rPr>
                <w:rFonts w:ascii="Calibri" w:cs="Calibri" w:eastAsia="Calibri" w:hAnsi="Calibri"/>
                <w:sz w:val="20"/>
                <w:szCs w:val="20"/>
              </w:rPr>
              <w:t xml:space="preserve"> : si seuls les volontaires enthousiastes mesurent, le gain est surestimé. Incluez toute l'équipe concernée, y compris les sceptiques.</w:t>
            </w:r>
          </w:p>
          <w:p>
            <w:pPr>
              <w:spacing w:after="60" w:line="264"/>
            </w:pPr>
            <w:r>
              <w:rPr>
                <w:rFonts w:ascii="Calibri" w:cs="Calibri" w:eastAsia="Calibri" w:hAnsi="Calibri"/>
                <w:b/>
                <w:bCs/>
                <w:sz w:val="20"/>
                <w:szCs w:val="20"/>
              </w:rPr>
              <w:t xml:space="preserve">Le temps caché</w:t>
            </w:r>
            <w:r>
              <w:rPr>
                <w:rFonts w:ascii="Calibri" w:cs="Calibri" w:eastAsia="Calibri" w:hAnsi="Calibri"/>
                <w:sz w:val="20"/>
                <w:szCs w:val="20"/>
              </w:rPr>
              <w:t xml:space="preserve"> : le temps passé à corriger, à vérifier les sources ou à reformuler fait partie du temps après. S'il n'est pas compté, le gain est fictif.</w:t>
            </w:r>
          </w:p>
        </w:tc>
      </w:tr>
    </w:tbl>
    <w:p>
      <w:pPr>
        <w:spacing w:after="120"/>
      </w:pPr>
    </w:p>
    <w:p>
      <w:pPr>
        <w:pStyle w:val="Heading2"/>
        <w:keepNext/>
        <w:spacing w:after="140" w:before="320"/>
      </w:pPr>
      <w:r>
        <w:rPr>
          <w:rFonts w:ascii="Calibri" w:cs="Calibri" w:eastAsia="Calibri" w:hAnsi="Calibri"/>
        </w:rPr>
        <w:t xml:space="preserve">3.3 Méthode 3 : l'indicateur de processus</w:t>
      </w:r>
    </w:p>
    <w:p>
      <w:pPr>
        <w:spacing w:after="140" w:before="0" w:line="276"/>
      </w:pPr>
      <w:r>
        <w:rPr>
          <w:rFonts w:ascii="Calibri" w:cs="Calibri" w:eastAsia="Calibri" w:hAnsi="Calibri"/>
        </w:rPr>
        <w:t xml:space="preserve">Pour les usages généralisés, la mesure par échantillon n'est plus tenable. On suit alors un indicateur que le métier tient déjà, avant même l'arrivée de l'IA : délai moyen de réponse à un appel d'offres, délai de traitement d'une réclamation, nombre de dossiers traités par semaine, taux de dossiers complets du premier coup, délai de production du reporting mensuel.</w:t>
      </w:r>
    </w:p>
    <w:p>
      <w:pPr>
        <w:spacing w:after="140" w:before="0" w:line="276"/>
      </w:pPr>
      <w:r>
        <w:rPr>
          <w:rFonts w:ascii="Calibri" w:cs="Calibri" w:eastAsia="Calibri" w:hAnsi="Calibri"/>
        </w:rPr>
        <w:t xml:space="preserve">L'avantage est double : le chiffre existe, il est produit par le métier et non par le porteur du projet, et il porte sur le résultat final plutôt que sur une tâche isolée. L'inconvénient est qu'il est influencé par beaucoup d'autres facteurs. On ne parle donc jamais de causalité : on présente la courbe, on situe la date de déploiement, et on laisse le comité de direction faire le lien, en signalant honnêtement les autres changements de la période.</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3277"/>
        <w:gridCol w:w="6361"/>
      </w:tblGrid>
      <w:tr>
        <w:trPr>
          <w:cantSplit/>
          <w:tblHeader/>
        </w:trPr>
        <w:tc>
          <w:tcPr>
            <w:tcW w:type="dxa" w:w="3277"/>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Fonction</w:t>
            </w:r>
          </w:p>
        </w:tc>
        <w:tc>
          <w:tcPr>
            <w:tcW w:type="dxa" w:w="6361"/>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Indicateurs de processus fréquemment disponibles</w:t>
            </w:r>
          </w:p>
        </w:tc>
      </w:tr>
      <w:tr>
        <w:trPr>
          <w:cantSplit/>
          <w:tblHeader w:val="false"/>
        </w:trPr>
        <w:tc>
          <w:tcPr>
            <w:tcW w:type="dxa" w:w="3277"/>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Commercial et avant-vente</w:t>
            </w:r>
          </w:p>
        </w:tc>
        <w:tc>
          <w:tcPr>
            <w:tcW w:type="dxa" w:w="636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Délai de production d'une réponse à appel d'offres, nombre de propositions produites par mois, taux de réponse dans les délais.</w:t>
            </w:r>
          </w:p>
        </w:tc>
      </w:tr>
      <w:tr>
        <w:trPr>
          <w:cantSplit/>
          <w:tblHeader w:val="false"/>
        </w:trPr>
        <w:tc>
          <w:tcPr>
            <w:tcW w:type="dxa" w:w="3277"/>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Service client et réclamations</w:t>
            </w:r>
          </w:p>
        </w:tc>
        <w:tc>
          <w:tcPr>
            <w:tcW w:type="dxa" w:w="636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Délai moyen de première réponse, délai de résolution, taux de réouverture, nombre de dossiers par agent et par jour.</w:t>
            </w:r>
          </w:p>
        </w:tc>
      </w:tr>
      <w:tr>
        <w:trPr>
          <w:cantSplit/>
          <w:tblHeader w:val="false"/>
        </w:trPr>
        <w:tc>
          <w:tcPr>
            <w:tcW w:type="dxa" w:w="3277"/>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Ressources humaines</w:t>
            </w:r>
          </w:p>
        </w:tc>
        <w:tc>
          <w:tcPr>
            <w:tcW w:type="dxa" w:w="636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Délai de publication d'une offre, délai de traitement d'une demande interne, taux de complétude des entretiens annuels dans les délais.</w:t>
            </w:r>
          </w:p>
        </w:tc>
      </w:tr>
      <w:tr>
        <w:trPr>
          <w:cantSplit/>
          <w:tblHeader w:val="false"/>
        </w:trPr>
        <w:tc>
          <w:tcPr>
            <w:tcW w:type="dxa" w:w="3277"/>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Finance et gestion</w:t>
            </w:r>
          </w:p>
        </w:tc>
        <w:tc>
          <w:tcPr>
            <w:tcW w:type="dxa" w:w="636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Délai de production du reporting mensuel, nombre d'écarts détectés avant clôture, délai de traitement des notes de frais.</w:t>
            </w:r>
          </w:p>
        </w:tc>
      </w:tr>
      <w:tr>
        <w:trPr>
          <w:cantSplit/>
          <w:tblHeader w:val="false"/>
        </w:trPr>
        <w:tc>
          <w:tcPr>
            <w:tcW w:type="dxa" w:w="3277"/>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Juridique et achats</w:t>
            </w:r>
          </w:p>
        </w:tc>
        <w:tc>
          <w:tcPr>
            <w:tcW w:type="dxa" w:w="636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Délai d'analyse d'un contrat, nombre de contrats revus par mois, délai entre expression du besoin et consultation.</w:t>
            </w:r>
          </w:p>
        </w:tc>
      </w:tr>
      <w:tr>
        <w:trPr>
          <w:cantSplit/>
          <w:tblHeader w:val="false"/>
        </w:trPr>
        <w:tc>
          <w:tcPr>
            <w:tcW w:type="dxa" w:w="3277"/>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Communication et marketing</w:t>
            </w:r>
          </w:p>
        </w:tc>
        <w:tc>
          <w:tcPr>
            <w:tcW w:type="dxa" w:w="636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Délai de production d'un contenu, volume de contenus publiés, délai de traduction ou d'adaptation.</w:t>
            </w:r>
          </w:p>
        </w:tc>
      </w:tr>
    </w:tbl>
    <w:p>
      <w:pPr>
        <w:spacing w:after="120"/>
      </w:pPr>
    </w:p>
    <w:p>
      <w:pPr>
        <w:pStyle w:val="Heading2"/>
        <w:keepNext/>
        <w:spacing w:after="140" w:before="320"/>
      </w:pPr>
      <w:r>
        <w:rPr>
          <w:rFonts w:ascii="Calibri" w:cs="Calibri" w:eastAsia="Calibri" w:hAnsi="Calibri"/>
        </w:rPr>
        <w:t xml:space="preserve">3.4 Mesurer aussi la qualité et le risque</w:t>
      </w:r>
    </w:p>
    <w:p>
      <w:pPr>
        <w:spacing w:after="140" w:before="0" w:line="276"/>
      </w:pPr>
      <w:r>
        <w:rPr>
          <w:rFonts w:ascii="Calibri" w:cs="Calibri" w:eastAsia="Calibri" w:hAnsi="Calibri"/>
        </w:rPr>
        <w:t xml:space="preserve">Un tableau de bord qui ne montre que des gains n'est pas cru. Ajoutez deux indicateurs qui peuvent se dégrader : ils rendent l'ensemble crédible et protègent le projet le jour où un incident survient.</w:t>
      </w:r>
    </w:p>
    <w:p>
      <w:pPr>
        <w:pStyle w:val="ListParagraph"/>
        <w:numPr>
          <w:ilvl w:val="0"/>
          <w:numId w:val="3"/>
        </w:numPr>
        <w:spacing w:after="80" w:line="276"/>
      </w:pPr>
      <w:r>
        <w:rPr>
          <w:rFonts w:ascii="Calibri" w:cs="Calibri" w:eastAsia="Calibri" w:hAnsi="Calibri"/>
          <w:b/>
          <w:bCs/>
        </w:rPr>
        <w:t xml:space="preserve">Le taux de reprise</w:t>
      </w:r>
      <w:r>
        <w:rPr>
          <w:rFonts w:ascii="Calibri" w:cs="Calibri" w:eastAsia="Calibri" w:hAnsi="Calibri"/>
        </w:rPr>
        <w:t xml:space="preserve"> : sur un échantillon mensuel de livrables générés avec l'IA, la part qui nécessite une correction lourde avant validation. Se relève par sondage auprès des valideurs, quinze livrables suffisent.</w:t>
      </w:r>
    </w:p>
    <w:p>
      <w:pPr>
        <w:pStyle w:val="ListParagraph"/>
        <w:numPr>
          <w:ilvl w:val="0"/>
          <w:numId w:val="3"/>
        </w:numPr>
        <w:spacing w:after="80" w:line="276"/>
      </w:pPr>
      <w:r>
        <w:rPr>
          <w:rFonts w:ascii="Calibri" w:cs="Calibri" w:eastAsia="Calibri" w:hAnsi="Calibri"/>
          <w:b/>
          <w:bCs/>
        </w:rPr>
        <w:t xml:space="preserve">Les incidents et écarts</w:t>
      </w:r>
      <w:r>
        <w:rPr>
          <w:rFonts w:ascii="Calibri" w:cs="Calibri" w:eastAsia="Calibri" w:hAnsi="Calibri"/>
        </w:rPr>
        <w:t xml:space="preserve"> : nombre de signalements relatifs à l'usage de l'IA (donnée sensible soumise à un outil non autorisé, contenu erroné diffusé, usage hors charte), leur nature et leur traitement. Un registre à zéro incident après un an est suspect : il signale le plus souvent que personne ne signale.</w:t>
      </w:r>
    </w:p>
    <w:p>
      <w:pPr>
        <w:pStyle w:val="Heading1"/>
        <w:pageBreakBefore/>
        <w:spacing w:after="240" w:before="0"/>
      </w:pPr>
      <w:r>
        <w:rPr>
          <w:rFonts w:ascii="Calibri" w:cs="Calibri" w:eastAsia="Calibri" w:hAnsi="Calibri"/>
        </w:rPr>
        <w:t xml:space="preserve">4. Calculer le retour sur investissement</w:t>
      </w:r>
    </w:p>
    <w:p>
      <w:pPr>
        <w:spacing w:after="140" w:before="0" w:line="276"/>
      </w:pPr>
      <w:r>
        <w:rPr>
          <w:rFonts w:ascii="Calibri" w:cs="Calibri" w:eastAsia="Calibri" w:hAnsi="Calibri"/>
        </w:rPr>
        <w:t xml:space="preserve">Le calcul de ROI n'est pas le cœur de la mesure : il en est la conclusion annuelle. Fait trop tôt, il repose sur des hypothèses trop fragiles et détourne la discussion. Fait une fois par an, avec le contrôle de gestion et sur des chiffres déjà publiés en cours d'année, il ferme le débat au lieu de l'ouvrir.</w:t>
      </w:r>
    </w:p>
    <w:p>
      <w:pPr>
        <w:pStyle w:val="Heading2"/>
        <w:keepNext/>
        <w:spacing w:after="140" w:before="320"/>
      </w:pPr>
      <w:r>
        <w:rPr>
          <w:rFonts w:ascii="Calibri" w:cs="Calibri" w:eastAsia="Calibri" w:hAnsi="Calibri"/>
        </w:rPr>
        <w:t xml:space="preserve">4.1 Compter tous les coûts</w:t>
      </w:r>
    </w:p>
    <w:p>
      <w:pPr>
        <w:spacing w:after="140" w:before="0" w:line="276"/>
      </w:pPr>
      <w:r>
        <w:rPr>
          <w:rFonts w:ascii="Calibri" w:cs="Calibri" w:eastAsia="Calibri" w:hAnsi="Calibri"/>
        </w:rPr>
        <w:t xml:space="preserve">Le poste oublié est presque toujours le même : le temps interne. Un référent à 40 % d'un temps plein pendant un an coûte davantage que trois cents licences. L'omettre décrédibilise le calcul dès la première question du directeur financier.</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2506"/>
        <w:gridCol w:w="4241"/>
        <w:gridCol w:w="2891"/>
      </w:tblGrid>
      <w:tr>
        <w:trPr>
          <w:cantSplit/>
          <w:tblHeader/>
        </w:trPr>
        <w:tc>
          <w:tcPr>
            <w:tcW w:type="dxa" w:w="2506"/>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Poste de coût</w:t>
            </w:r>
          </w:p>
        </w:tc>
        <w:tc>
          <w:tcPr>
            <w:tcW w:type="dxa" w:w="4241"/>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Ce qu'il recouvre</w:t>
            </w:r>
          </w:p>
        </w:tc>
        <w:tc>
          <w:tcPr>
            <w:tcW w:type="dxa" w:w="2891"/>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Ordre de grandeur usuel</w:t>
            </w:r>
          </w:p>
        </w:tc>
      </w:tr>
      <w:tr>
        <w:trPr>
          <w:cantSplit/>
          <w:tblHeader w:val="false"/>
        </w:trPr>
        <w:tc>
          <w:tcPr>
            <w:tcW w:type="dxa" w:w="2506"/>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Licences</w:t>
            </w:r>
          </w:p>
        </w:tc>
        <w:tc>
          <w:tcPr>
            <w:tcW w:type="dxa" w:w="424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Abonnements de l'outil de référence et des outils complémentaires, sur la période, au tarif réellement payé (remises comprises).</w:t>
            </w:r>
          </w:p>
        </w:tc>
        <w:tc>
          <w:tcPr>
            <w:tcW w:type="dxa" w:w="289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Le poste le plus visible, souvent 40 à 60 % du total.</w:t>
            </w:r>
          </w:p>
        </w:tc>
      </w:tr>
      <w:tr>
        <w:trPr>
          <w:cantSplit/>
          <w:tblHeader w:val="false"/>
        </w:trPr>
        <w:tc>
          <w:tcPr>
            <w:tcW w:type="dxa" w:w="2506"/>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Formation et accompagnement</w:t>
            </w:r>
          </w:p>
        </w:tc>
        <w:tc>
          <w:tcPr>
            <w:tcW w:type="dxa" w:w="424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Prestations externes, temps des formateurs internes, temps des participants en session (à valoriser : c'est du temps non produit).</w:t>
            </w:r>
          </w:p>
        </w:tc>
        <w:tc>
          <w:tcPr>
            <w:tcW w:type="dxa" w:w="289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20 à 40 % du total, souvent sous-estimé car le temps des participants n'est pas compté.</w:t>
            </w:r>
          </w:p>
        </w:tc>
      </w:tr>
      <w:tr>
        <w:trPr>
          <w:cantSplit/>
          <w:tblHeader w:val="false"/>
        </w:trPr>
        <w:tc>
          <w:tcPr>
            <w:tcW w:type="dxa" w:w="2506"/>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Temps interne de pilotage</w:t>
            </w:r>
          </w:p>
        </w:tc>
        <w:tc>
          <w:tcPr>
            <w:tcW w:type="dxa" w:w="424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Référent IA, sponsor, ambassadeurs, porteurs de pilotes, contributions IT et sécurité, valorisés au taux horaire chargé.</w:t>
            </w:r>
          </w:p>
        </w:tc>
        <w:tc>
          <w:tcPr>
            <w:tcW w:type="dxa" w:w="289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10 à 30 % du total, presque toujours oublié.</w:t>
            </w:r>
          </w:p>
        </w:tc>
      </w:tr>
      <w:tr>
        <w:trPr>
          <w:cantSplit/>
          <w:tblHeader w:val="false"/>
        </w:trPr>
        <w:tc>
          <w:tcPr>
            <w:tcW w:type="dxa" w:w="2506"/>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Technique et intégration</w:t>
            </w:r>
          </w:p>
        </w:tc>
        <w:tc>
          <w:tcPr>
            <w:tcW w:type="dxa" w:w="424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Développements, connecteurs, environnement de test, éventuels coûts d'API pour les agents.</w:t>
            </w:r>
          </w:p>
        </w:tc>
        <w:tc>
          <w:tcPr>
            <w:tcW w:type="dxa" w:w="289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Faible en année 1, croissant dès que des agents passent en production.</w:t>
            </w:r>
          </w:p>
        </w:tc>
      </w:tr>
      <w:tr>
        <w:trPr>
          <w:cantSplit/>
          <w:tblHeader w:val="false"/>
        </w:trPr>
        <w:tc>
          <w:tcPr>
            <w:tcW w:type="dxa" w:w="2506"/>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Conformité et juridique</w:t>
            </w:r>
          </w:p>
        </w:tc>
        <w:tc>
          <w:tcPr>
            <w:tcW w:type="dxa" w:w="424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Analyse de risques, revue contractuelle, temps du DPO et du RSSI, dialogue social.</w:t>
            </w:r>
          </w:p>
        </w:tc>
        <w:tc>
          <w:tcPr>
            <w:tcW w:type="dxa" w:w="289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Ponctuel, concentré au premier trimestre.</w:t>
            </w:r>
          </w:p>
        </w:tc>
      </w:tr>
    </w:tbl>
    <w:p>
      <w:pPr>
        <w:spacing w:after="120"/>
      </w:pPr>
    </w:p>
    <w:p>
      <w:pPr>
        <w:pStyle w:val="Heading2"/>
        <w:keepNext/>
        <w:spacing w:after="140" w:before="320"/>
      </w:pPr>
      <w:r>
        <w:rPr>
          <w:rFonts w:ascii="Calibri" w:cs="Calibri" w:eastAsia="Calibri" w:hAnsi="Calibri"/>
        </w:rPr>
        <w:t xml:space="preserve">4.2 Convertir les heures gagnées, avec prudence</w:t>
      </w:r>
    </w:p>
    <w:p>
      <w:pPr>
        <w:spacing w:after="140" w:before="0" w:line="276"/>
      </w:pPr>
      <w:r>
        <w:rPr>
          <w:rFonts w:ascii="Calibri" w:cs="Calibri" w:eastAsia="Calibri" w:hAnsi="Calibri"/>
        </w:rPr>
        <w:t xml:space="preserve">C'est l'étape la plus contestée, et à juste titre : une heure gagnée n'est pas une heure économisée. Elle est réinvestie dans d'autres tâches, absorbée par la charge, ou convertie en qualité et en réactivité. Trois conventions permettent de présenter un chiffre honnête.</w:t>
      </w:r>
    </w:p>
    <w:p>
      <w:pPr>
        <w:pStyle w:val="ListParagraph"/>
        <w:numPr>
          <w:ilvl w:val="0"/>
          <w:numId w:val="2"/>
        </w:numPr>
        <w:spacing w:after="80" w:line="276"/>
      </w:pPr>
      <w:r>
        <w:rPr>
          <w:rFonts w:ascii="Calibri" w:cs="Calibri" w:eastAsia="Calibri" w:hAnsi="Calibri"/>
          <w:b/>
          <w:bCs/>
        </w:rPr>
        <w:t xml:space="preserve">Décoter le déclaratif de moitié.</w:t>
      </w:r>
      <w:r>
        <w:rPr>
          <w:rFonts w:ascii="Calibri" w:cs="Calibri" w:eastAsia="Calibri" w:hAnsi="Calibri"/>
        </w:rPr>
        <w:t xml:space="preserve"> Si la médiane déclarée est de 2 heures par semaine, retenez 1 heure. Annoncez la décote et sa raison.</w:t>
      </w:r>
    </w:p>
    <w:p>
      <w:pPr>
        <w:pStyle w:val="ListParagraph"/>
        <w:numPr>
          <w:ilvl w:val="0"/>
          <w:numId w:val="2"/>
        </w:numPr>
        <w:spacing w:after="80" w:line="276"/>
      </w:pPr>
      <w:r>
        <w:rPr>
          <w:rFonts w:ascii="Calibri" w:cs="Calibri" w:eastAsia="Calibri" w:hAnsi="Calibri"/>
          <w:b/>
          <w:bCs/>
        </w:rPr>
        <w:t xml:space="preserve">Ne convertir que pour les utilisateurs réguliers.</w:t>
      </w:r>
      <w:r>
        <w:rPr>
          <w:rFonts w:ascii="Calibri" w:cs="Calibri" w:eastAsia="Calibri" w:hAnsi="Calibri"/>
        </w:rPr>
        <w:t xml:space="preserve"> Le gain ne s'applique pas à l'effectif total ni aux détenteurs de licence inactifs, mais aux seuls utilisateurs actifs hebdomadaires. C'est ce qui rend le chiffre défendable, et c'est aussi ce qui fait de l'adoption le premier levier de ROI.</w:t>
      </w:r>
    </w:p>
    <w:p>
      <w:pPr>
        <w:pStyle w:val="ListParagraph"/>
        <w:numPr>
          <w:ilvl w:val="0"/>
          <w:numId w:val="2"/>
        </w:numPr>
        <w:spacing w:after="80" w:line="276"/>
      </w:pPr>
      <w:r>
        <w:rPr>
          <w:rFonts w:ascii="Calibri" w:cs="Calibri" w:eastAsia="Calibri" w:hAnsi="Calibri"/>
          <w:b/>
          <w:bCs/>
        </w:rPr>
        <w:t xml:space="preserve">Appliquer un taux de réalisation.</w:t>
      </w:r>
      <w:r>
        <w:rPr>
          <w:rFonts w:ascii="Calibri" w:cs="Calibri" w:eastAsia="Calibri" w:hAnsi="Calibri"/>
        </w:rPr>
        <w:t xml:space="preserve"> Toutes les heures gagnées ne se transforment pas en valeur pour l'organisation. Un taux de 30 à 50 % est une convention raisonnable en année 1 pour des fonctions support ; au-delà, il faut pouvoir montrer une redéploiement effectif (postes non remplacés, volumes supplémentaires traités, délais raccourcis constatés).</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c>
          <w:tcPr>
            <w:tcW w:type="dxa" w:w="9638"/>
            <w:tcBorders>
              <w:top w:val="none" w:color="FFFFFF" w:sz="0"/>
              <w:left w:val="single" w:color="1F5FBF" w:sz="24"/>
              <w:bottom w:val="none" w:color="FFFFFF" w:sz="0"/>
              <w:right w:val="none" w:color="FFFFFF" w:sz="0"/>
            </w:tcBorders>
            <w:shd w:fill="EAF1FB" w:color="auto" w:val="clear"/>
            <w:tcMar>
              <w:top w:type="dxa" w:w="140"/>
              <w:left w:type="dxa" w:w="200"/>
              <w:bottom w:type="dxa" w:w="100"/>
              <w:right w:type="dxa" w:w="200"/>
            </w:tcMar>
          </w:tcPr>
          <w:p>
            <w:pPr>
              <w:spacing w:after="80"/>
            </w:pPr>
            <w:r>
              <w:rPr>
                <w:rFonts w:ascii="Calibri" w:cs="Calibri" w:eastAsia="Calibri" w:hAnsi="Calibri"/>
                <w:b/>
                <w:bCs/>
                <w:color w:val="0F2D5E"/>
                <w:sz w:val="21"/>
                <w:szCs w:val="21"/>
              </w:rPr>
              <w:t xml:space="preserve">Formule de référence</w:t>
            </w:r>
          </w:p>
          <w:p>
            <w:pPr>
              <w:spacing w:after="60" w:line="264"/>
            </w:pPr>
            <w:r>
              <w:rPr>
                <w:rFonts w:ascii="Calibri" w:cs="Calibri" w:eastAsia="Calibri" w:hAnsi="Calibri"/>
                <w:b/>
                <w:bCs/>
                <w:sz w:val="20"/>
                <w:szCs w:val="20"/>
              </w:rPr>
              <w:t xml:space="preserve">Gain annuel valorisé = utilisateurs actifs hebdomadaires × heures gagnées retenues par semaine × 44 semaines × taux horaire chargé × taux de réalisation</w:t>
            </w:r>
          </w:p>
          <w:p>
            <w:pPr>
              <w:spacing w:after="60" w:line="264"/>
            </w:pPr>
            <w:r>
              <w:rPr>
                <w:rFonts w:ascii="Calibri" w:cs="Calibri" w:eastAsia="Calibri" w:hAnsi="Calibri"/>
                <w:sz w:val="20"/>
                <w:szCs w:val="20"/>
              </w:rPr>
              <w:t xml:space="preserve">Exemple d'application avec des valeurs volontairement prudentes, à remplacer par les vôtres : 300 utilisateurs actifs × 1 heure retenue × 44 semaines × 45 € × 40 % = 237 600 € de gain annuel valorisé. À comparer au coût complet de la même période, calculé au 4.1.</w:t>
            </w:r>
          </w:p>
          <w:p>
            <w:pPr>
              <w:spacing w:after="60" w:line="264"/>
            </w:pPr>
            <w:r>
              <w:rPr>
                <w:rFonts w:ascii="Calibri" w:cs="Calibri" w:eastAsia="Calibri" w:hAnsi="Calibri"/>
                <w:sz w:val="20"/>
                <w:szCs w:val="20"/>
              </w:rPr>
              <w:t xml:space="preserve">Le taux horaire chargé est celui que votre contrôle de gestion utilise pour la population concernée : ne l'inventez pas, demandez-le.</w:t>
            </w:r>
          </w:p>
        </w:tc>
      </w:tr>
    </w:tbl>
    <w:p>
      <w:pPr>
        <w:spacing w:after="120"/>
      </w:pPr>
    </w:p>
    <w:p>
      <w:pPr>
        <w:pStyle w:val="Heading2"/>
        <w:keepNext/>
        <w:spacing w:after="140" w:before="320"/>
      </w:pPr>
      <w:r>
        <w:rPr>
          <w:rFonts w:ascii="Calibri" w:cs="Calibri" w:eastAsia="Calibri" w:hAnsi="Calibri"/>
        </w:rPr>
        <w:t xml:space="preserve">4.3 Présenter trois scénarios plutôt qu'un chiffre</w:t>
      </w:r>
    </w:p>
    <w:p>
      <w:pPr>
        <w:spacing w:after="140" w:before="0" w:line="276"/>
      </w:pPr>
      <w:r>
        <w:rPr>
          <w:rFonts w:ascii="Calibri" w:cs="Calibri" w:eastAsia="Calibri" w:hAnsi="Calibri"/>
        </w:rPr>
        <w:t xml:space="preserve">Un chiffre unique invite à la contestation du chiffre ; une fourchette invite à la discussion sur les hypothèses, ce qui est exactement la conversation utile. Présentez systématiquement trois colonnes, en désignant le scénario prudent comme chiffre de référence.</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2120"/>
        <w:gridCol w:w="2506"/>
        <w:gridCol w:w="2506"/>
        <w:gridCol w:w="2506"/>
      </w:tblGrid>
      <w:tr>
        <w:trPr>
          <w:cantSplit/>
          <w:tblHeader/>
        </w:trPr>
        <w:tc>
          <w:tcPr>
            <w:tcW w:type="dxa" w:w="2120"/>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Hypothèse</w:t>
            </w:r>
          </w:p>
        </w:tc>
        <w:tc>
          <w:tcPr>
            <w:tcW w:type="dxa" w:w="2506"/>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Scénario prudent (référence)</w:t>
            </w:r>
          </w:p>
        </w:tc>
        <w:tc>
          <w:tcPr>
            <w:tcW w:type="dxa" w:w="2506"/>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Scénario central</w:t>
            </w:r>
          </w:p>
        </w:tc>
        <w:tc>
          <w:tcPr>
            <w:tcW w:type="dxa" w:w="2506"/>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Scénario haut</w:t>
            </w:r>
          </w:p>
        </w:tc>
      </w:tr>
      <w:tr>
        <w:trPr>
          <w:cantSplit/>
          <w:tblHeader w:val="false"/>
        </w:trPr>
        <w:tc>
          <w:tcPr>
            <w:tcW w:type="dxa" w:w="2120"/>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Heures retenues par semaine</w:t>
            </w:r>
          </w:p>
        </w:tc>
        <w:tc>
          <w:tcPr>
            <w:tcW w:type="dxa" w:w="2506"/>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Médiane déclarée décotée de 50 %</w:t>
            </w:r>
          </w:p>
        </w:tc>
        <w:tc>
          <w:tcPr>
            <w:tcW w:type="dxa" w:w="2506"/>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Médiane déclarée décotée de 30 %</w:t>
            </w:r>
          </w:p>
        </w:tc>
        <w:tc>
          <w:tcPr>
            <w:tcW w:type="dxa" w:w="2506"/>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Gain mesuré sur le pilote avant / après</w:t>
            </w:r>
          </w:p>
        </w:tc>
      </w:tr>
      <w:tr>
        <w:trPr>
          <w:cantSplit/>
          <w:tblHeader w:val="false"/>
        </w:trPr>
        <w:tc>
          <w:tcPr>
            <w:tcW w:type="dxa" w:w="2120"/>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Population concernée</w:t>
            </w:r>
          </w:p>
        </w:tc>
        <w:tc>
          <w:tcPr>
            <w:tcW w:type="dxa" w:w="2506"/>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Utilisateurs actifs hebdomadaires</w:t>
            </w:r>
          </w:p>
        </w:tc>
        <w:tc>
          <w:tcPr>
            <w:tcW w:type="dxa" w:w="2506"/>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Utilisateurs actifs hebdomadaires</w:t>
            </w:r>
          </w:p>
        </w:tc>
        <w:tc>
          <w:tcPr>
            <w:tcW w:type="dxa" w:w="2506"/>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Utilisateurs actifs + activation attendue de l'année suivante</w:t>
            </w:r>
          </w:p>
        </w:tc>
      </w:tr>
      <w:tr>
        <w:trPr>
          <w:cantSplit/>
          <w:tblHeader w:val="false"/>
        </w:trPr>
        <w:tc>
          <w:tcPr>
            <w:tcW w:type="dxa" w:w="2120"/>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Taux de réalisation</w:t>
            </w:r>
          </w:p>
        </w:tc>
        <w:tc>
          <w:tcPr>
            <w:tcW w:type="dxa" w:w="2506"/>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30 %</w:t>
            </w:r>
          </w:p>
        </w:tc>
        <w:tc>
          <w:tcPr>
            <w:tcW w:type="dxa" w:w="2506"/>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40 %</w:t>
            </w:r>
          </w:p>
        </w:tc>
        <w:tc>
          <w:tcPr>
            <w:tcW w:type="dxa" w:w="2506"/>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60 %, si redéploiement démontré</w:t>
            </w:r>
          </w:p>
        </w:tc>
      </w:tr>
      <w:tr>
        <w:trPr>
          <w:cantSplit/>
          <w:tblHeader w:val="false"/>
        </w:trPr>
        <w:tc>
          <w:tcPr>
            <w:tcW w:type="dxa" w:w="2120"/>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Usage du scénario</w:t>
            </w:r>
          </w:p>
        </w:tc>
        <w:tc>
          <w:tcPr>
            <w:tcW w:type="dxa" w:w="2506"/>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Le chiffre qu'on défend et qu'on inscrit au bilan</w:t>
            </w:r>
          </w:p>
        </w:tc>
        <w:tc>
          <w:tcPr>
            <w:tcW w:type="dxa" w:w="2506"/>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La cible de travail</w:t>
            </w:r>
          </w:p>
        </w:tc>
        <w:tc>
          <w:tcPr>
            <w:tcW w:type="dxa" w:w="2506"/>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L'ordre de grandeur du potentiel, pour arbitrer les investissements</w:t>
            </w:r>
          </w:p>
        </w:tc>
      </w:tr>
    </w:tbl>
    <w:p>
      <w:pPr>
        <w:spacing w:after="120"/>
      </w:pPr>
    </w:p>
    <w:p>
      <w:pPr>
        <w:pStyle w:val="Heading2"/>
        <w:keepNext/>
        <w:spacing w:after="140" w:before="320"/>
      </w:pPr>
      <w:r>
        <w:rPr>
          <w:rFonts w:ascii="Calibri" w:cs="Calibri" w:eastAsia="Calibri" w:hAnsi="Calibri"/>
        </w:rPr>
        <w:t xml:space="preserve">4.4 Les six pièges de calcul</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3084"/>
        <w:gridCol w:w="6554"/>
      </w:tblGrid>
      <w:tr>
        <w:trPr>
          <w:cantSplit/>
          <w:tblHeader/>
        </w:trPr>
        <w:tc>
          <w:tcPr>
            <w:tcW w:type="dxa" w:w="3084"/>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Piège</w:t>
            </w:r>
          </w:p>
        </w:tc>
        <w:tc>
          <w:tcPr>
            <w:tcW w:type="dxa" w:w="6554"/>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Ce qu'il faut faire à la place</w:t>
            </w: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Appliquer le gain à tout l'effectif</w:t>
            </w:r>
          </w:p>
        </w:tc>
        <w:tc>
          <w:tcPr>
            <w:tcW w:type="dxa" w:w="6554"/>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Ne valoriser que les utilisateurs réguliers. C'est la première correction que fera votre directeur financier ; faites-la avant lui.</w:t>
            </w: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Oublier le temps interne dans les coûts</w:t>
            </w:r>
          </w:p>
        </w:tc>
        <w:tc>
          <w:tcPr>
            <w:tcW w:type="dxa" w:w="6554"/>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Valoriser le temps du référent, des ambassadeurs et des participants aux formations au taux horaire chargé.</w:t>
            </w: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Additionner des gains qui se recouvrent</w:t>
            </w:r>
          </w:p>
        </w:tc>
        <w:tc>
          <w:tcPr>
            <w:tcW w:type="dxa" w:w="6554"/>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Un gain mesuré sur un pilote et un gain déclaré par les mêmes personnes portent souvent sur les mêmes heures. Choisissez une seule source par population.</w:t>
            </w: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Extrapoler un pilote réussi à toute l'organisation</w:t>
            </w:r>
          </w:p>
        </w:tc>
        <w:tc>
          <w:tcPr>
            <w:tcW w:type="dxa" w:w="6554"/>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Un pilote se déroule avec des volontaires accompagnés. Appliquer son gain à des équipes non formées surestime massivement. Extrapolez au maximum au périmètre effectivement formé, avec une décote.</w:t>
            </w: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Annoncer des économies de postes</w:t>
            </w:r>
          </w:p>
        </w:tc>
        <w:tc>
          <w:tcPr>
            <w:tcW w:type="dxa" w:w="6554"/>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Sauf décision managériale explicite et assumée, les heures gagnées ne sont pas des postes supprimés. Parler d'économies de postes déclenche des réactions qui coûteront plus cher que le gain annoncé.</w:t>
            </w: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Présenter un ROI sans intervalle ni hypothèses</w:t>
            </w:r>
          </w:p>
        </w:tc>
        <w:tc>
          <w:tcPr>
            <w:tcW w:type="dxa" w:w="6554"/>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Toujours écrire les hypothèses sous le chiffre, sur la même page. Un chiffre sans hypothèses visibles est lu comme une promesse commerciale.</w:t>
            </w:r>
          </w:p>
        </w:tc>
      </w:tr>
    </w:tbl>
    <w:p>
      <w:pPr>
        <w:spacing w:after="120"/>
      </w:pPr>
    </w:p>
    <w:p>
      <w:pPr>
        <w:pStyle w:val="Heading2"/>
        <w:keepNext/>
        <w:spacing w:after="140" w:before="320"/>
      </w:pPr>
      <w:r>
        <w:rPr>
          <w:rFonts w:ascii="Calibri" w:cs="Calibri" w:eastAsia="Calibri" w:hAnsi="Calibri"/>
        </w:rPr>
        <w:t xml:space="preserve">4.5 Au-delà des heures : les autres formes de valeur</w:t>
      </w:r>
    </w:p>
    <w:p>
      <w:pPr>
        <w:spacing w:after="140" w:before="0" w:line="276"/>
      </w:pPr>
      <w:r>
        <w:rPr>
          <w:rFonts w:ascii="Calibri" w:cs="Calibri" w:eastAsia="Calibri" w:hAnsi="Calibri"/>
        </w:rPr>
        <w:t xml:space="preserve">Les gains les plus importants ne sont pas toujours convertibles en euros, et il vaut mieux les nommer que les faire entrer de force dans le calcul. Réservez-leur une page du bilan, avec pour chacun une preuve concrète plutôt qu'une affirmation.</w:t>
      </w:r>
    </w:p>
    <w:p>
      <w:pPr>
        <w:pStyle w:val="ListParagraph"/>
        <w:numPr>
          <w:ilvl w:val="0"/>
          <w:numId w:val="3"/>
        </w:numPr>
        <w:spacing w:after="80" w:line="276"/>
      </w:pPr>
      <w:r>
        <w:rPr>
          <w:rFonts w:ascii="Calibri" w:cs="Calibri" w:eastAsia="Calibri" w:hAnsi="Calibri"/>
          <w:b/>
          <w:bCs/>
        </w:rPr>
        <w:t xml:space="preserve">La qualité et l'homogénéité</w:t>
      </w:r>
      <w:r>
        <w:rPr>
          <w:rFonts w:ascii="Calibri" w:cs="Calibri" w:eastAsia="Calibri" w:hAnsi="Calibri"/>
        </w:rPr>
        <w:t xml:space="preserve"> : des livrables plus complets, une meilleure tenue des standards, moins d'allers-retours de validation. Preuve : le taux de reprise, ou le témoignage du valideur.</w:t>
      </w:r>
    </w:p>
    <w:p>
      <w:pPr>
        <w:pStyle w:val="ListParagraph"/>
        <w:numPr>
          <w:ilvl w:val="0"/>
          <w:numId w:val="3"/>
        </w:numPr>
        <w:spacing w:after="80" w:line="276"/>
      </w:pPr>
      <w:r>
        <w:rPr>
          <w:rFonts w:ascii="Calibri" w:cs="Calibri" w:eastAsia="Calibri" w:hAnsi="Calibri"/>
          <w:b/>
          <w:bCs/>
        </w:rPr>
        <w:t xml:space="preserve">La réactivité</w:t>
      </w:r>
      <w:r>
        <w:rPr>
          <w:rFonts w:ascii="Calibri" w:cs="Calibri" w:eastAsia="Calibri" w:hAnsi="Calibri"/>
        </w:rPr>
        <w:t xml:space="preserve"> : des délais raccourcis sur des demandes internes ou clients, mesurables par l'indicateur de processus.</w:t>
      </w:r>
    </w:p>
    <w:p>
      <w:pPr>
        <w:pStyle w:val="ListParagraph"/>
        <w:numPr>
          <w:ilvl w:val="0"/>
          <w:numId w:val="3"/>
        </w:numPr>
        <w:spacing w:after="80" w:line="276"/>
      </w:pPr>
      <w:r>
        <w:rPr>
          <w:rFonts w:ascii="Calibri" w:cs="Calibri" w:eastAsia="Calibri" w:hAnsi="Calibri"/>
          <w:b/>
          <w:bCs/>
        </w:rPr>
        <w:t xml:space="preserve">Le désengorgement des experts</w:t>
      </w:r>
      <w:r>
        <w:rPr>
          <w:rFonts w:ascii="Calibri" w:cs="Calibri" w:eastAsia="Calibri" w:hAnsi="Calibri"/>
        </w:rPr>
        <w:t xml:space="preserve"> : les questions simples traitées par un assistant libèrent les spécialistes pour les cas complexes. Preuve : volume de sollicitations de niveau 1 adressées à l'équipe experte.</w:t>
      </w:r>
    </w:p>
    <w:p>
      <w:pPr>
        <w:pStyle w:val="ListParagraph"/>
        <w:numPr>
          <w:ilvl w:val="0"/>
          <w:numId w:val="3"/>
        </w:numPr>
        <w:spacing w:after="80" w:line="276"/>
      </w:pPr>
      <w:r>
        <w:rPr>
          <w:rFonts w:ascii="Calibri" w:cs="Calibri" w:eastAsia="Calibri" w:hAnsi="Calibri"/>
          <w:b/>
          <w:bCs/>
        </w:rPr>
        <w:t xml:space="preserve">L'attractivité et la compétence</w:t>
      </w:r>
      <w:r>
        <w:rPr>
          <w:rFonts w:ascii="Calibri" w:cs="Calibri" w:eastAsia="Calibri" w:hAnsi="Calibri"/>
        </w:rPr>
        <w:t xml:space="preserve"> : une organisation qui forme ses équipes à l'IA tient un argument de recrutement et satisfait à l'obligation de maîtrise de l'IA de l'article 4 de l'AI Act. Preuve : registre de formation, retours des entretiens de recrutement.</w:t>
      </w:r>
    </w:p>
    <w:p>
      <w:pPr>
        <w:pStyle w:val="ListParagraph"/>
        <w:numPr>
          <w:ilvl w:val="0"/>
          <w:numId w:val="3"/>
        </w:numPr>
        <w:spacing w:after="80" w:line="276"/>
      </w:pPr>
      <w:r>
        <w:rPr>
          <w:rFonts w:ascii="Calibri" w:cs="Calibri" w:eastAsia="Calibri" w:hAnsi="Calibri"/>
          <w:b/>
          <w:bCs/>
        </w:rPr>
        <w:t xml:space="preserve">La réduction de risque</w:t>
      </w:r>
      <w:r>
        <w:rPr>
          <w:rFonts w:ascii="Calibri" w:cs="Calibri" w:eastAsia="Calibri" w:hAnsi="Calibri"/>
        </w:rPr>
        <w:t xml:space="preserve"> : des usages encadrés et outillés remplacent des usages hors cadre sur comptes personnels. Preuve : évolution de la part d'utilisateurs déclarant recourir à un compte personnel entre deux baromètres.</w:t>
      </w:r>
    </w:p>
    <w:p>
      <w:pPr>
        <w:pStyle w:val="Heading1"/>
        <w:pageBreakBefore/>
        <w:spacing w:after="240" w:before="0"/>
      </w:pPr>
      <w:r>
        <w:rPr>
          <w:rFonts w:ascii="Calibri" w:cs="Calibri" w:eastAsia="Calibri" w:hAnsi="Calibri"/>
        </w:rPr>
        <w:t xml:space="preserve">5. Restituer et décider</w:t>
      </w:r>
    </w:p>
    <w:p>
      <w:pPr>
        <w:spacing w:after="140" w:before="0" w:line="276"/>
      </w:pPr>
      <w:r>
        <w:rPr>
          <w:rFonts w:ascii="Calibri" w:cs="Calibri" w:eastAsia="Calibri" w:hAnsi="Calibri"/>
        </w:rPr>
        <w:t xml:space="preserve">Une mesure qui ne débouche pas sur une décision est un coût sans contrepartie. Cette partie fixe le format de restitution et les arbitrages qu'il doit permettre.</w:t>
      </w:r>
    </w:p>
    <w:p>
      <w:pPr>
        <w:pStyle w:val="Heading2"/>
        <w:keepNext/>
        <w:spacing w:after="140" w:before="320"/>
      </w:pPr>
      <w:r>
        <w:rPr>
          <w:rFonts w:ascii="Calibri" w:cs="Calibri" w:eastAsia="Calibri" w:hAnsi="Calibri"/>
        </w:rPr>
        <w:t xml:space="preserve">5.1 Le bilan annuel en cinq pages</w:t>
      </w:r>
    </w:p>
    <w:p>
      <w:pPr>
        <w:spacing w:after="140" w:before="0" w:line="276"/>
      </w:pPr>
      <w:r>
        <w:rPr>
          <w:rFonts w:ascii="Calibri" w:cs="Calibri" w:eastAsia="Calibri" w:hAnsi="Calibri"/>
        </w:rPr>
        <w:t xml:space="preserve">Au-delà de cinq pages, le comité de direction ne lit plus et discute du support plutôt que du sujet. Voici la structure qui fonctionne, dans cet ordre précis : la valeur avant les coûts, les hypothèses toujours visibles, la décision en dernier.</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1542"/>
        <w:gridCol w:w="3277"/>
        <w:gridCol w:w="4819"/>
      </w:tblGrid>
      <w:tr>
        <w:trPr>
          <w:cantSplit/>
          <w:tblHeader/>
        </w:trPr>
        <w:tc>
          <w:tcPr>
            <w:tcW w:type="dxa" w:w="1542"/>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Page</w:t>
            </w:r>
          </w:p>
        </w:tc>
        <w:tc>
          <w:tcPr>
            <w:tcW w:type="dxa" w:w="3277"/>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Titre</w:t>
            </w:r>
          </w:p>
        </w:tc>
        <w:tc>
          <w:tcPr>
            <w:tcW w:type="dxa" w:w="4819"/>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Contenu</w:t>
            </w:r>
          </w:p>
        </w:tc>
      </w:tr>
      <w:tr>
        <w:trPr>
          <w:cantSplit/>
          <w:tblHeader w:val="false"/>
        </w:trPr>
        <w:tc>
          <w:tcPr>
            <w:tcW w:type="dxa" w:w="1542"/>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1</w:t>
            </w:r>
          </w:p>
        </w:tc>
        <w:tc>
          <w:tcPr>
            <w:tcW w:type="dxa" w:w="3277"/>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Où nous en sommes</w:t>
            </w:r>
          </w:p>
        </w:tc>
        <w:tc>
          <w:tcPr>
            <w:tcW w:type="dxa" w:w="4819"/>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Trois chiffres : taux d'usage régulier, nombre de cas d'usage réutilisés, nombre de personnes formées. Avec leur valeur de départ et leur évolution sur l'année.</w:t>
            </w:r>
          </w:p>
        </w:tc>
      </w:tr>
      <w:tr>
        <w:trPr>
          <w:cantSplit/>
          <w:tblHeader w:val="false"/>
        </w:trPr>
        <w:tc>
          <w:tcPr>
            <w:tcW w:type="dxa" w:w="1542"/>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2</w:t>
            </w:r>
          </w:p>
        </w:tc>
        <w:tc>
          <w:tcPr>
            <w:tcW w:type="dxa" w:w="3277"/>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Ce que ça nous apporte</w:t>
            </w:r>
          </w:p>
        </w:tc>
        <w:tc>
          <w:tcPr>
            <w:tcW w:type="dxa" w:w="4819"/>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Le gain mesuré sur les pilotes (avant / après, avec la taille des échantillons), le temps gagné déclaré et décoté, et un ou deux indicateurs de processus avec leur courbe.</w:t>
            </w:r>
          </w:p>
        </w:tc>
      </w:tr>
      <w:tr>
        <w:trPr>
          <w:cantSplit/>
          <w:tblHeader w:val="false"/>
        </w:trPr>
        <w:tc>
          <w:tcPr>
            <w:tcW w:type="dxa" w:w="1542"/>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3</w:t>
            </w:r>
          </w:p>
        </w:tc>
        <w:tc>
          <w:tcPr>
            <w:tcW w:type="dxa" w:w="3277"/>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Ce que ça nous coûte</w:t>
            </w:r>
          </w:p>
        </w:tc>
        <w:tc>
          <w:tcPr>
            <w:tcW w:type="dxa" w:w="4819"/>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Le coût complet de l'année par poste, licences, formation, temps interne, technique, conformité. Et le coût par utilisateur régulier, qui est le chiffre que les directeurs retiennent.</w:t>
            </w:r>
          </w:p>
        </w:tc>
      </w:tr>
      <w:tr>
        <w:trPr>
          <w:cantSplit/>
          <w:tblHeader w:val="false"/>
        </w:trPr>
        <w:tc>
          <w:tcPr>
            <w:tcW w:type="dxa" w:w="1542"/>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4</w:t>
            </w:r>
          </w:p>
        </w:tc>
        <w:tc>
          <w:tcPr>
            <w:tcW w:type="dxa" w:w="3277"/>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Le retour sur investissement</w:t>
            </w:r>
          </w:p>
        </w:tc>
        <w:tc>
          <w:tcPr>
            <w:tcW w:type="dxa" w:w="4819"/>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Les trois scénarios avec leurs hypothèses écrites sous le tableau, le scénario prudent mis en avant, et les formes de valeur non converties listées à côté.</w:t>
            </w:r>
          </w:p>
        </w:tc>
      </w:tr>
      <w:tr>
        <w:trPr>
          <w:cantSplit/>
          <w:tblHeader w:val="false"/>
        </w:trPr>
        <w:tc>
          <w:tcPr>
            <w:tcW w:type="dxa" w:w="1542"/>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5</w:t>
            </w:r>
          </w:p>
        </w:tc>
        <w:tc>
          <w:tcPr>
            <w:tcW w:type="dxa" w:w="3277"/>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Ce que nous proposons</w:t>
            </w:r>
          </w:p>
        </w:tc>
        <w:tc>
          <w:tcPr>
            <w:tcW w:type="dxa" w:w="4819"/>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Les trois arbitrages (arrêter, maintenir, investir), le périmètre et le budget de l'année suivante, et la décision demandée au comité, formulée en une phrase.</w:t>
            </w:r>
          </w:p>
        </w:tc>
      </w:tr>
    </w:tbl>
    <w:p>
      <w:pPr>
        <w:spacing w:after="120"/>
      </w:pPr>
    </w:p>
    <w:p>
      <w:pPr>
        <w:pStyle w:val="Heading2"/>
        <w:keepNext/>
        <w:spacing w:after="140" w:before="320"/>
      </w:pPr>
      <w:r>
        <w:rPr>
          <w:rFonts w:ascii="Calibri" w:cs="Calibri" w:eastAsia="Calibri" w:hAnsi="Calibri"/>
        </w:rPr>
        <w:t xml:space="preserve">5.2 Les trois arbitrages</w:t>
      </w:r>
    </w:p>
    <w:p>
      <w:pPr>
        <w:spacing w:after="140" w:before="0" w:line="276"/>
      </w:pPr>
      <w:r>
        <w:rPr>
          <w:rFonts w:ascii="Calibri" w:cs="Calibri" w:eastAsia="Calibri" w:hAnsi="Calibri"/>
        </w:rPr>
        <w:t xml:space="preserve">Toute la mesure de l'année sert à trancher trois questions. Les poser explicitement évite la reconduction automatique du budget, qui est la manière la plus sûre de perdre la confiance du comité de direction la deuxième année.</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2120"/>
        <w:gridCol w:w="7518"/>
      </w:tblGrid>
      <w:tr>
        <w:trPr>
          <w:cantSplit/>
          <w:tblHeader/>
        </w:trPr>
        <w:tc>
          <w:tcPr>
            <w:tcW w:type="dxa" w:w="2120"/>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Arbitrage</w:t>
            </w:r>
          </w:p>
        </w:tc>
        <w:tc>
          <w:tcPr>
            <w:tcW w:type="dxa" w:w="7518"/>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Critère de décision</w:t>
            </w:r>
          </w:p>
        </w:tc>
      </w:tr>
      <w:tr>
        <w:trPr>
          <w:cantSplit/>
          <w:tblHeader w:val="false"/>
        </w:trPr>
        <w:tc>
          <w:tcPr>
            <w:tcW w:type="dxa" w:w="2120"/>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Arrêter</w:t>
            </w:r>
          </w:p>
        </w:tc>
        <w:tc>
          <w:tcPr>
            <w:tcW w:type="dxa" w:w="7518"/>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Un assistant, un agent ou une licence sans usage régulier depuis trois mois est retiré. Les licences récupérées sont redistribuées aux directions en attente, ce qui améliore le coût par utilisateur régulier sans dépense supplémentaire.</w:t>
            </w:r>
          </w:p>
        </w:tc>
      </w:tr>
      <w:tr>
        <w:trPr>
          <w:cantSplit/>
          <w:tblHeader w:val="false"/>
        </w:trPr>
        <w:tc>
          <w:tcPr>
            <w:tcW w:type="dxa" w:w="2120"/>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Maintenir</w:t>
            </w:r>
          </w:p>
        </w:tc>
        <w:tc>
          <w:tcPr>
            <w:tcW w:type="dxa" w:w="7518"/>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Ce qui rend service à coût constant : la bibliothèque de cas d'usage, les rituels d'animation, le réseau d'ambassadeurs, le registre de formation. Ces postes ne produisent pas de gain isolable mais leur suppression fait chuter tout le reste.</w:t>
            </w:r>
          </w:p>
        </w:tc>
      </w:tr>
      <w:tr>
        <w:trPr>
          <w:cantSplit/>
          <w:tblHeader w:val="false"/>
        </w:trPr>
        <w:tc>
          <w:tcPr>
            <w:tcW w:type="dxa" w:w="2120"/>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Investir</w:t>
            </w:r>
          </w:p>
        </w:tc>
        <w:tc>
          <w:tcPr>
            <w:tcW w:type="dxa" w:w="7518"/>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Les processus dont le pilote a démontré un gain mesuré méritent un vrai projet : intégration, agents connectés, formation approfondie des équipes concernées. C'est là que se joue la valeur de l'année 2, et le bilan doit nommer les deux ou trois candidats.</w:t>
            </w:r>
          </w:p>
        </w:tc>
      </w:tr>
    </w:tbl>
    <w:p>
      <w:pPr>
        <w:spacing w:after="120"/>
      </w:pPr>
    </w:p>
    <w:p>
      <w:pPr>
        <w:pStyle w:val="Heading2"/>
        <w:keepNext/>
        <w:spacing w:after="140" w:before="320"/>
      </w:pPr>
      <w:r>
        <w:rPr>
          <w:rFonts w:ascii="Calibri" w:cs="Calibri" w:eastAsia="Calibri" w:hAnsi="Calibri"/>
        </w:rPr>
        <w:t xml:space="preserve">5.3 Répondre aux cinq objections classiques</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3277"/>
        <w:gridCol w:w="6361"/>
      </w:tblGrid>
      <w:tr>
        <w:trPr>
          <w:cantSplit/>
          <w:tblHeader/>
        </w:trPr>
        <w:tc>
          <w:tcPr>
            <w:tcW w:type="dxa" w:w="3277"/>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Objection</w:t>
            </w:r>
          </w:p>
        </w:tc>
        <w:tc>
          <w:tcPr>
            <w:tcW w:type="dxa" w:w="6361"/>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Réponse recommandée</w:t>
            </w:r>
          </w:p>
        </w:tc>
      </w:tr>
      <w:tr>
        <w:trPr>
          <w:cantSplit/>
          <w:tblHeader w:val="false"/>
        </w:trPr>
        <w:tc>
          <w:tcPr>
            <w:tcW w:type="dxa" w:w="3277"/>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 Ces heures gagnées, on ne les voit pas dans les comptes. »</w:t>
            </w:r>
          </w:p>
        </w:tc>
        <w:tc>
          <w:tcPr>
            <w:tcW w:type="dxa" w:w="636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C'est exact, et c'est pourquoi nous appliquons un taux de réalisation de 30 à 40 %. Ce qui est visible : les délais de tel processus, le volume traité, la baisse du taux de reprise. Voici les courbes.</w:t>
            </w:r>
          </w:p>
        </w:tc>
      </w:tr>
      <w:tr>
        <w:trPr>
          <w:cantSplit/>
          <w:tblHeader w:val="false"/>
        </w:trPr>
        <w:tc>
          <w:tcPr>
            <w:tcW w:type="dxa" w:w="3277"/>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 Ce sont des déclarations, pas des mesures. »</w:t>
            </w:r>
          </w:p>
        </w:tc>
        <w:tc>
          <w:tcPr>
            <w:tcW w:type="dxa" w:w="636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Le déclaratif sert la tendance ; la preuve vient du pilote mesuré avant et après sur un échantillon de tant de livrables, avec contrôle qualité. Voici la page de résultat.</w:t>
            </w:r>
          </w:p>
        </w:tc>
      </w:tr>
      <w:tr>
        <w:trPr>
          <w:cantSplit/>
          <w:tblHeader w:val="false"/>
        </w:trPr>
        <w:tc>
          <w:tcPr>
            <w:tcW w:type="dxa" w:w="3277"/>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 Comment savoir que c'est l'IA et pas autre chose ? »</w:t>
            </w:r>
          </w:p>
        </w:tc>
        <w:tc>
          <w:tcPr>
            <w:tcW w:type="dxa" w:w="636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Nous ne prouvons pas la causalité, nous la documentons : périmètre, date de déploiement, autres changements de la période. Le pilote, lui, compare les mêmes personnes sur la même tâche à quelques semaines d'écart.</w:t>
            </w:r>
          </w:p>
        </w:tc>
      </w:tr>
      <w:tr>
        <w:trPr>
          <w:cantSplit/>
          <w:tblHeader w:val="false"/>
        </w:trPr>
        <w:tc>
          <w:tcPr>
            <w:tcW w:type="dxa" w:w="3277"/>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 Pourquoi payer des licences pour des gens qui ne s'en servent pas ? »</w:t>
            </w:r>
          </w:p>
        </w:tc>
        <w:tc>
          <w:tcPr>
            <w:tcW w:type="dxa" w:w="636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C'est précisément l'arbitrage proposé : retirer les licences inactives depuis trois mois et les redistribuer. Voici le nombre concerné et l'économie associée.</w:t>
            </w:r>
          </w:p>
        </w:tc>
      </w:tr>
      <w:tr>
        <w:trPr>
          <w:cantSplit/>
          <w:tblHeader w:val="false"/>
        </w:trPr>
        <w:tc>
          <w:tcPr>
            <w:tcW w:type="dxa" w:w="3277"/>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 On nous promettait bien plus. »</w:t>
            </w:r>
          </w:p>
        </w:tc>
        <w:tc>
          <w:tcPr>
            <w:tcW w:type="dxa" w:w="636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Les ordres de grandeur annoncés dans la presse portent sur des tâches isolées et des utilisateurs experts. Notre chiffre porte sur une population réelle, avec sa courbe d'apprentissage. Il progresse d'un trimestre à l'autre, et c'est cette trajectoire qui compte.</w:t>
            </w:r>
          </w:p>
        </w:tc>
      </w:tr>
    </w:tbl>
    <w:p>
      <w:pPr>
        <w:spacing w:after="120"/>
      </w:pPr>
    </w:p>
    <w:p>
      <w:pPr>
        <w:pStyle w:val="Heading2"/>
        <w:keepNext/>
        <w:spacing w:after="140" w:before="320"/>
      </w:pPr>
      <w:r>
        <w:rPr>
          <w:rFonts w:ascii="Calibri" w:cs="Calibri" w:eastAsia="Calibri" w:hAnsi="Calibri"/>
        </w:rPr>
        <w:t xml:space="preserve">5.4 Faire vivre la mesure</w:t>
      </w:r>
    </w:p>
    <w:p>
      <w:pPr>
        <w:spacing w:after="140" w:before="0" w:line="276"/>
      </w:pPr>
      <w:r>
        <w:rPr>
          <w:rFonts w:ascii="Calibri" w:cs="Calibri" w:eastAsia="Calibri" w:hAnsi="Calibri"/>
        </w:rPr>
        <w:t xml:space="preserve">La mesure s'arrête généralement quand la personne qui la porte change de sujet. Trois garde-fous simples permettent qu'elle survive : inscrire les quatre relevés annuels dans le calendrier du comité de direction dès le mois de janvier, conserver dans un seul document les définitions des indicateurs et les résultats de chaque campagne, et confier le relevé mensuel à l'administrateur de l'outil plutôt qu'au référent, dont le poste est plus mobile.</w:t>
      </w:r>
    </w:p>
    <w:p>
      <w:pPr>
        <w:spacing w:after="140" w:before="0" w:line="276"/>
      </w:pPr>
      <w:r>
        <w:rPr>
          <w:rFonts w:ascii="Calibri" w:cs="Calibri" w:eastAsia="Calibri" w:hAnsi="Calibri"/>
        </w:rPr>
        <w:t xml:space="preserve">Enfin, publiez les résultats en interne, même modestes. Une organisation qui communique sur ses chiffres d'adoption obtient des chiffres meilleurs le trimestre suivant : les directions en retard se comparent, et les équipes en avance revendiquent leurs cas d'usage. La mesure devient alors un levier d'adoption, et pas seulement un instrument de contrôle.</w:t>
      </w:r>
    </w:p>
    <w:p>
      <w:pPr>
        <w:pStyle w:val="Heading1"/>
        <w:pageBreakBefore/>
        <w:spacing w:after="240" w:before="0"/>
      </w:pPr>
      <w:r>
        <w:rPr>
          <w:rFonts w:ascii="Calibri" w:cs="Calibri" w:eastAsia="Calibri" w:hAnsi="Calibri"/>
        </w:rPr>
        <w:t xml:space="preserve">Annexe A. Le tableau de bord</w:t>
      </w:r>
    </w:p>
    <w:p>
      <w:pPr>
        <w:spacing w:after="140" w:before="0" w:line="276"/>
      </w:pPr>
      <w:r>
        <w:rPr>
          <w:rFonts w:ascii="Calibri" w:cs="Calibri" w:eastAsia="Calibri" w:hAnsi="Calibri"/>
        </w:rPr>
        <w:t xml:space="preserve">Les colonnes « Départ », « T1 » à « T4 » sont à remplir. Adoptez les définitions ci-dessous telles quelles ou adaptez-les, mais ne les modifiez plus en cours d'année.</w:t>
      </w:r>
    </w:p>
    <w:p>
      <w:pPr>
        <w:pStyle w:val="Heading2"/>
        <w:keepNext/>
        <w:spacing w:after="140" w:before="320"/>
      </w:pPr>
      <w:r>
        <w:rPr>
          <w:rFonts w:ascii="Calibri" w:cs="Calibri" w:eastAsia="Calibri" w:hAnsi="Calibri"/>
        </w:rPr>
        <w:t xml:space="preserve">Adoption</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2217"/>
        <w:gridCol w:w="2699"/>
        <w:gridCol w:w="1060"/>
        <w:gridCol w:w="964"/>
        <w:gridCol w:w="675"/>
        <w:gridCol w:w="675"/>
        <w:gridCol w:w="675"/>
        <w:gridCol w:w="675"/>
      </w:tblGrid>
      <w:tr>
        <w:trPr>
          <w:cantSplit/>
          <w:tblHeader/>
        </w:trPr>
        <w:tc>
          <w:tcPr>
            <w:tcW w:type="dxa" w:w="2217"/>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Indicateur</w:t>
            </w:r>
          </w:p>
        </w:tc>
        <w:tc>
          <w:tcPr>
            <w:tcW w:type="dxa" w:w="2699"/>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Définition et source</w:t>
            </w:r>
          </w:p>
        </w:tc>
        <w:tc>
          <w:tcPr>
            <w:tcW w:type="dxa" w:w="1060"/>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Fréquence</w:t>
            </w:r>
          </w:p>
        </w:tc>
        <w:tc>
          <w:tcPr>
            <w:tcW w:type="dxa" w:w="964"/>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Départ</w:t>
            </w:r>
          </w:p>
        </w:tc>
        <w:tc>
          <w:tcPr>
            <w:tcW w:type="dxa" w:w="675"/>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T1</w:t>
            </w:r>
          </w:p>
        </w:tc>
        <w:tc>
          <w:tcPr>
            <w:tcW w:type="dxa" w:w="675"/>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T2</w:t>
            </w:r>
          </w:p>
        </w:tc>
        <w:tc>
          <w:tcPr>
            <w:tcW w:type="dxa" w:w="675"/>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T3</w:t>
            </w:r>
          </w:p>
        </w:tc>
        <w:tc>
          <w:tcPr>
            <w:tcW w:type="dxa" w:w="675"/>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T4</w:t>
            </w:r>
          </w:p>
        </w:tc>
      </w:tr>
      <w:tr>
        <w:trPr>
          <w:cantSplit/>
          <w:tblHeader w:val="false"/>
        </w:trPr>
        <w:tc>
          <w:tcPr>
            <w:tcW w:type="dxa" w:w="221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Taux d'équipement</w:t>
            </w:r>
          </w:p>
        </w:tc>
        <w:tc>
          <w:tcPr>
            <w:tcW w:type="dxa" w:w="2699"/>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Licences attribuées ÷ effectif du périmètre. Console + SIRH.</w:t>
            </w:r>
          </w:p>
        </w:tc>
        <w:tc>
          <w:tcPr>
            <w:tcW w:type="dxa" w:w="1060"/>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Mensuel</w:t>
            </w:r>
          </w:p>
        </w:tc>
        <w:tc>
          <w:tcPr>
            <w:tcW w:type="dxa" w:w="964"/>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r>
      <w:tr>
        <w:trPr>
          <w:cantSplit/>
          <w:tblHeader w:val="false"/>
        </w:trPr>
        <w:tc>
          <w:tcPr>
            <w:tcW w:type="dxa" w:w="221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Taux d'activation</w:t>
            </w:r>
          </w:p>
        </w:tc>
        <w:tc>
          <w:tcPr>
            <w:tcW w:type="dxa" w:w="2699"/>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Personnes ayant utilisé l'outil au moins une fois ÷ licences. Console.</w:t>
            </w:r>
          </w:p>
        </w:tc>
        <w:tc>
          <w:tcPr>
            <w:tcW w:type="dxa" w:w="1060"/>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Mensuel</w:t>
            </w:r>
          </w:p>
        </w:tc>
        <w:tc>
          <w:tcPr>
            <w:tcW w:type="dxa" w:w="964"/>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r>
      <w:tr>
        <w:trPr>
          <w:cantSplit/>
          <w:tblHeader w:val="false"/>
        </w:trPr>
        <w:tc>
          <w:tcPr>
            <w:tcW w:type="dxa" w:w="221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Taux d'usage régulier</w:t>
            </w:r>
          </w:p>
        </w:tc>
        <w:tc>
          <w:tcPr>
            <w:tcW w:type="dxa" w:w="2699"/>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Utilisateurs actifs hebdomadaires (3 interactions ou plus) ÷ licences. Console.</w:t>
            </w:r>
          </w:p>
        </w:tc>
        <w:tc>
          <w:tcPr>
            <w:tcW w:type="dxa" w:w="1060"/>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Mensuel</w:t>
            </w:r>
          </w:p>
        </w:tc>
        <w:tc>
          <w:tcPr>
            <w:tcW w:type="dxa" w:w="964"/>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r>
      <w:tr>
        <w:trPr>
          <w:cantSplit/>
          <w:tblHeader w:val="false"/>
        </w:trPr>
        <w:tc>
          <w:tcPr>
            <w:tcW w:type="dxa" w:w="221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Part de collaborateurs formés</w:t>
            </w:r>
          </w:p>
        </w:tc>
        <w:tc>
          <w:tcPr>
            <w:tcW w:type="dxa" w:w="2699"/>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Personnes ayant suivi au moins une session ÷ effectif du périmètre. Registre.</w:t>
            </w:r>
          </w:p>
        </w:tc>
        <w:tc>
          <w:tcPr>
            <w:tcW w:type="dxa" w:w="1060"/>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Mensuel</w:t>
            </w:r>
          </w:p>
        </w:tc>
        <w:tc>
          <w:tcPr>
            <w:tcW w:type="dxa" w:w="964"/>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r>
      <w:tr>
        <w:trPr>
          <w:cantSplit/>
          <w:tblHeader w:val="false"/>
        </w:trPr>
        <w:tc>
          <w:tcPr>
            <w:tcW w:type="dxa" w:w="221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Directions sous 30 % d'usage</w:t>
            </w:r>
          </w:p>
        </w:tc>
        <w:tc>
          <w:tcPr>
            <w:tcW w:type="dxa" w:w="2699"/>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Nombre de directions dont le taux d'usage régulier est inférieur à 30 %.</w:t>
            </w:r>
          </w:p>
        </w:tc>
        <w:tc>
          <w:tcPr>
            <w:tcW w:type="dxa" w:w="1060"/>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Trimestriel</w:t>
            </w:r>
          </w:p>
        </w:tc>
        <w:tc>
          <w:tcPr>
            <w:tcW w:type="dxa" w:w="964"/>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r>
    </w:tbl>
    <w:p>
      <w:pPr>
        <w:spacing w:after="120"/>
      </w:pPr>
    </w:p>
    <w:p>
      <w:pPr>
        <w:pStyle w:val="Heading2"/>
        <w:keepNext/>
        <w:spacing w:after="140" w:before="320"/>
      </w:pPr>
      <w:r>
        <w:rPr>
          <w:rFonts w:ascii="Calibri" w:cs="Calibri" w:eastAsia="Calibri" w:hAnsi="Calibri"/>
        </w:rPr>
        <w:t xml:space="preserve">Usage</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2217"/>
        <w:gridCol w:w="2699"/>
        <w:gridCol w:w="1060"/>
        <w:gridCol w:w="964"/>
        <w:gridCol w:w="675"/>
        <w:gridCol w:w="675"/>
        <w:gridCol w:w="675"/>
        <w:gridCol w:w="675"/>
      </w:tblGrid>
      <w:tr>
        <w:trPr>
          <w:cantSplit/>
          <w:tblHeader/>
        </w:trPr>
        <w:tc>
          <w:tcPr>
            <w:tcW w:type="dxa" w:w="2217"/>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Indicateur</w:t>
            </w:r>
          </w:p>
        </w:tc>
        <w:tc>
          <w:tcPr>
            <w:tcW w:type="dxa" w:w="2699"/>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Définition et source</w:t>
            </w:r>
          </w:p>
        </w:tc>
        <w:tc>
          <w:tcPr>
            <w:tcW w:type="dxa" w:w="1060"/>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Fréquence</w:t>
            </w:r>
          </w:p>
        </w:tc>
        <w:tc>
          <w:tcPr>
            <w:tcW w:type="dxa" w:w="964"/>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Départ</w:t>
            </w:r>
          </w:p>
        </w:tc>
        <w:tc>
          <w:tcPr>
            <w:tcW w:type="dxa" w:w="675"/>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T1</w:t>
            </w:r>
          </w:p>
        </w:tc>
        <w:tc>
          <w:tcPr>
            <w:tcW w:type="dxa" w:w="675"/>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T2</w:t>
            </w:r>
          </w:p>
        </w:tc>
        <w:tc>
          <w:tcPr>
            <w:tcW w:type="dxa" w:w="675"/>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T3</w:t>
            </w:r>
          </w:p>
        </w:tc>
        <w:tc>
          <w:tcPr>
            <w:tcW w:type="dxa" w:w="675"/>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T4</w:t>
            </w:r>
          </w:p>
        </w:tc>
      </w:tr>
      <w:tr>
        <w:trPr>
          <w:cantSplit/>
          <w:tblHeader w:val="false"/>
        </w:trPr>
        <w:tc>
          <w:tcPr>
            <w:tcW w:type="dxa" w:w="221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Cas d'usage publiés</w:t>
            </w:r>
          </w:p>
        </w:tc>
        <w:tc>
          <w:tcPr>
            <w:tcW w:type="dxa" w:w="2699"/>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Prompts, assistants, agents et coworks documentés dans la bibliothèque interne.</w:t>
            </w:r>
          </w:p>
        </w:tc>
        <w:tc>
          <w:tcPr>
            <w:tcW w:type="dxa" w:w="1060"/>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Mensuel</w:t>
            </w:r>
          </w:p>
        </w:tc>
        <w:tc>
          <w:tcPr>
            <w:tcW w:type="dxa" w:w="964"/>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r>
      <w:tr>
        <w:trPr>
          <w:cantSplit/>
          <w:tblHeader w:val="false"/>
        </w:trPr>
        <w:tc>
          <w:tcPr>
            <w:tcW w:type="dxa" w:w="221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Taux de réutilisation</w:t>
            </w:r>
          </w:p>
        </w:tc>
        <w:tc>
          <w:tcPr>
            <w:tcW w:type="dxa" w:w="2699"/>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Part des cas d'usage utilisés par une autre équipe que celle qui les a créés.</w:t>
            </w:r>
          </w:p>
        </w:tc>
        <w:tc>
          <w:tcPr>
            <w:tcW w:type="dxa" w:w="1060"/>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Trimestriel</w:t>
            </w:r>
          </w:p>
        </w:tc>
        <w:tc>
          <w:tcPr>
            <w:tcW w:type="dxa" w:w="964"/>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r>
      <w:tr>
        <w:trPr>
          <w:cantSplit/>
          <w:tblHeader w:val="false"/>
        </w:trPr>
        <w:tc>
          <w:tcPr>
            <w:tcW w:type="dxa" w:w="221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Directions représentées</w:t>
            </w:r>
          </w:p>
        </w:tc>
        <w:tc>
          <w:tcPr>
            <w:tcW w:type="dxa" w:w="2699"/>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Nombre de directions ayant publié au moins un cas d'usage.</w:t>
            </w:r>
          </w:p>
        </w:tc>
        <w:tc>
          <w:tcPr>
            <w:tcW w:type="dxa" w:w="1060"/>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Trimestriel</w:t>
            </w:r>
          </w:p>
        </w:tc>
        <w:tc>
          <w:tcPr>
            <w:tcW w:type="dxa" w:w="964"/>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r>
      <w:tr>
        <w:trPr>
          <w:cantSplit/>
          <w:tblHeader w:val="false"/>
        </w:trPr>
        <w:tc>
          <w:tcPr>
            <w:tcW w:type="dxa" w:w="221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Ambassadeurs actifs</w:t>
            </w:r>
          </w:p>
        </w:tc>
        <w:tc>
          <w:tcPr>
            <w:tcW w:type="dxa" w:w="2699"/>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Ambassadeurs ayant animé au moins une action dans le trimestre.</w:t>
            </w:r>
          </w:p>
        </w:tc>
        <w:tc>
          <w:tcPr>
            <w:tcW w:type="dxa" w:w="1060"/>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Trimestriel</w:t>
            </w:r>
          </w:p>
        </w:tc>
        <w:tc>
          <w:tcPr>
            <w:tcW w:type="dxa" w:w="964"/>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r>
    </w:tbl>
    <w:p>
      <w:pPr>
        <w:spacing w:after="120"/>
      </w:pPr>
    </w:p>
    <w:p>
      <w:pPr>
        <w:pStyle w:val="Heading2"/>
        <w:keepNext/>
        <w:spacing w:after="140" w:before="320"/>
      </w:pPr>
      <w:r>
        <w:rPr>
          <w:rFonts w:ascii="Calibri" w:cs="Calibri" w:eastAsia="Calibri" w:hAnsi="Calibri"/>
        </w:rPr>
        <w:t xml:space="preserve">Valeur</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2217"/>
        <w:gridCol w:w="2699"/>
        <w:gridCol w:w="1060"/>
        <w:gridCol w:w="964"/>
        <w:gridCol w:w="675"/>
        <w:gridCol w:w="675"/>
        <w:gridCol w:w="675"/>
        <w:gridCol w:w="675"/>
      </w:tblGrid>
      <w:tr>
        <w:trPr>
          <w:cantSplit/>
          <w:tblHeader/>
        </w:trPr>
        <w:tc>
          <w:tcPr>
            <w:tcW w:type="dxa" w:w="2217"/>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Indicateur</w:t>
            </w:r>
          </w:p>
        </w:tc>
        <w:tc>
          <w:tcPr>
            <w:tcW w:type="dxa" w:w="2699"/>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Définition et source</w:t>
            </w:r>
          </w:p>
        </w:tc>
        <w:tc>
          <w:tcPr>
            <w:tcW w:type="dxa" w:w="1060"/>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Fréquence</w:t>
            </w:r>
          </w:p>
        </w:tc>
        <w:tc>
          <w:tcPr>
            <w:tcW w:type="dxa" w:w="964"/>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Départ</w:t>
            </w:r>
          </w:p>
        </w:tc>
        <w:tc>
          <w:tcPr>
            <w:tcW w:type="dxa" w:w="675"/>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T1</w:t>
            </w:r>
          </w:p>
        </w:tc>
        <w:tc>
          <w:tcPr>
            <w:tcW w:type="dxa" w:w="675"/>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T2</w:t>
            </w:r>
          </w:p>
        </w:tc>
        <w:tc>
          <w:tcPr>
            <w:tcW w:type="dxa" w:w="675"/>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T3</w:t>
            </w:r>
          </w:p>
        </w:tc>
        <w:tc>
          <w:tcPr>
            <w:tcW w:type="dxa" w:w="675"/>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T4</w:t>
            </w:r>
          </w:p>
        </w:tc>
      </w:tr>
      <w:tr>
        <w:trPr>
          <w:cantSplit/>
          <w:tblHeader w:val="false"/>
        </w:trPr>
        <w:tc>
          <w:tcPr>
            <w:tcW w:type="dxa" w:w="221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Temps gagné déclaré (médiane)</w:t>
            </w:r>
          </w:p>
        </w:tc>
        <w:tc>
          <w:tcPr>
            <w:tcW w:type="dxa" w:w="2699"/>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Médiane des tranches déclarées par les utilisateurs réguliers. Baromètre.</w:t>
            </w:r>
          </w:p>
        </w:tc>
        <w:tc>
          <w:tcPr>
            <w:tcW w:type="dxa" w:w="1060"/>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Trimestriel</w:t>
            </w:r>
          </w:p>
        </w:tc>
        <w:tc>
          <w:tcPr>
            <w:tcW w:type="dxa" w:w="964"/>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r>
      <w:tr>
        <w:trPr>
          <w:cantSplit/>
          <w:tblHeader w:val="false"/>
        </w:trPr>
        <w:tc>
          <w:tcPr>
            <w:tcW w:type="dxa" w:w="221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Temps gagné retenu</w:t>
            </w:r>
          </w:p>
        </w:tc>
        <w:tc>
          <w:tcPr>
            <w:tcW w:type="dxa" w:w="2699"/>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Médiane déclarée décotée de 50 %. Base de toute conversion économique.</w:t>
            </w:r>
          </w:p>
        </w:tc>
        <w:tc>
          <w:tcPr>
            <w:tcW w:type="dxa" w:w="1060"/>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Trimestriel</w:t>
            </w:r>
          </w:p>
        </w:tc>
        <w:tc>
          <w:tcPr>
            <w:tcW w:type="dxa" w:w="964"/>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r>
      <w:tr>
        <w:trPr>
          <w:cantSplit/>
          <w:tblHeader w:val="false"/>
        </w:trPr>
        <w:tc>
          <w:tcPr>
            <w:tcW w:type="dxa" w:w="221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Gain mesuré sur pilote</w:t>
            </w:r>
          </w:p>
        </w:tc>
        <w:tc>
          <w:tcPr>
            <w:tcW w:type="dxa" w:w="2699"/>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Écart de temps moyen de production d'un livrable, avant et après, en pourcentage.</w:t>
            </w:r>
          </w:p>
        </w:tc>
        <w:tc>
          <w:tcPr>
            <w:tcW w:type="dxa" w:w="1060"/>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Par pilote</w:t>
            </w:r>
          </w:p>
        </w:tc>
        <w:tc>
          <w:tcPr>
            <w:tcW w:type="dxa" w:w="964"/>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r>
      <w:tr>
        <w:trPr>
          <w:cantSplit/>
          <w:tblHeader w:val="false"/>
        </w:trPr>
        <w:tc>
          <w:tcPr>
            <w:tcW w:type="dxa" w:w="221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Indicateur de processus n° 1</w:t>
            </w:r>
          </w:p>
        </w:tc>
        <w:tc>
          <w:tcPr>
            <w:tcW w:type="dxa" w:w="2699"/>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À nommer : ______________________ (délai, volume, taux). Source métier.</w:t>
            </w:r>
          </w:p>
        </w:tc>
        <w:tc>
          <w:tcPr>
            <w:tcW w:type="dxa" w:w="1060"/>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Mensuel</w:t>
            </w:r>
          </w:p>
        </w:tc>
        <w:tc>
          <w:tcPr>
            <w:tcW w:type="dxa" w:w="964"/>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r>
      <w:tr>
        <w:trPr>
          <w:cantSplit/>
          <w:tblHeader w:val="false"/>
        </w:trPr>
        <w:tc>
          <w:tcPr>
            <w:tcW w:type="dxa" w:w="221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Indicateur de processus n° 2</w:t>
            </w:r>
          </w:p>
        </w:tc>
        <w:tc>
          <w:tcPr>
            <w:tcW w:type="dxa" w:w="2699"/>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À nommer : ______________________. Source métier.</w:t>
            </w:r>
          </w:p>
        </w:tc>
        <w:tc>
          <w:tcPr>
            <w:tcW w:type="dxa" w:w="1060"/>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Mensuel</w:t>
            </w:r>
          </w:p>
        </w:tc>
        <w:tc>
          <w:tcPr>
            <w:tcW w:type="dxa" w:w="964"/>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r>
      <w:tr>
        <w:trPr>
          <w:cantSplit/>
          <w:tblHeader w:val="false"/>
        </w:trPr>
        <w:tc>
          <w:tcPr>
            <w:tcW w:type="dxa" w:w="221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Satisfaction des utilisateurs</w:t>
            </w:r>
          </w:p>
        </w:tc>
        <w:tc>
          <w:tcPr>
            <w:tcW w:type="dxa" w:w="2699"/>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Part d'utilisateurs se déclarant satisfaits ou très satisfaits. Baromètre.</w:t>
            </w:r>
          </w:p>
        </w:tc>
        <w:tc>
          <w:tcPr>
            <w:tcW w:type="dxa" w:w="1060"/>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Trimestriel</w:t>
            </w:r>
          </w:p>
        </w:tc>
        <w:tc>
          <w:tcPr>
            <w:tcW w:type="dxa" w:w="964"/>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r>
    </w:tbl>
    <w:p>
      <w:pPr>
        <w:spacing w:after="120"/>
      </w:pPr>
    </w:p>
    <w:p>
      <w:pPr>
        <w:pStyle w:val="Heading2"/>
        <w:keepNext/>
        <w:spacing w:after="140" w:before="320"/>
      </w:pPr>
      <w:r>
        <w:rPr>
          <w:rFonts w:ascii="Calibri" w:cs="Calibri" w:eastAsia="Calibri" w:hAnsi="Calibri"/>
        </w:rPr>
        <w:t xml:space="preserve">Coûts et risques</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2217"/>
        <w:gridCol w:w="2699"/>
        <w:gridCol w:w="1060"/>
        <w:gridCol w:w="964"/>
        <w:gridCol w:w="675"/>
        <w:gridCol w:w="675"/>
        <w:gridCol w:w="675"/>
        <w:gridCol w:w="675"/>
      </w:tblGrid>
      <w:tr>
        <w:trPr>
          <w:cantSplit/>
          <w:tblHeader/>
        </w:trPr>
        <w:tc>
          <w:tcPr>
            <w:tcW w:type="dxa" w:w="2217"/>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Indicateur</w:t>
            </w:r>
          </w:p>
        </w:tc>
        <w:tc>
          <w:tcPr>
            <w:tcW w:type="dxa" w:w="2699"/>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Définition et source</w:t>
            </w:r>
          </w:p>
        </w:tc>
        <w:tc>
          <w:tcPr>
            <w:tcW w:type="dxa" w:w="1060"/>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Fréquence</w:t>
            </w:r>
          </w:p>
        </w:tc>
        <w:tc>
          <w:tcPr>
            <w:tcW w:type="dxa" w:w="964"/>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Départ</w:t>
            </w:r>
          </w:p>
        </w:tc>
        <w:tc>
          <w:tcPr>
            <w:tcW w:type="dxa" w:w="675"/>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T1</w:t>
            </w:r>
          </w:p>
        </w:tc>
        <w:tc>
          <w:tcPr>
            <w:tcW w:type="dxa" w:w="675"/>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T2</w:t>
            </w:r>
          </w:p>
        </w:tc>
        <w:tc>
          <w:tcPr>
            <w:tcW w:type="dxa" w:w="675"/>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T3</w:t>
            </w:r>
          </w:p>
        </w:tc>
        <w:tc>
          <w:tcPr>
            <w:tcW w:type="dxa" w:w="675"/>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T4</w:t>
            </w:r>
          </w:p>
        </w:tc>
      </w:tr>
      <w:tr>
        <w:trPr>
          <w:cantSplit/>
          <w:tblHeader w:val="false"/>
        </w:trPr>
        <w:tc>
          <w:tcPr>
            <w:tcW w:type="dxa" w:w="221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Coût complet cumulé</w:t>
            </w:r>
          </w:p>
        </w:tc>
        <w:tc>
          <w:tcPr>
            <w:tcW w:type="dxa" w:w="2699"/>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Licences + formation + temps interne + technique + conformité. Voir annexe D.</w:t>
            </w:r>
          </w:p>
        </w:tc>
        <w:tc>
          <w:tcPr>
            <w:tcW w:type="dxa" w:w="1060"/>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Trimestriel</w:t>
            </w:r>
          </w:p>
        </w:tc>
        <w:tc>
          <w:tcPr>
            <w:tcW w:type="dxa" w:w="964"/>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r>
      <w:tr>
        <w:trPr>
          <w:cantSplit/>
          <w:tblHeader w:val="false"/>
        </w:trPr>
        <w:tc>
          <w:tcPr>
            <w:tcW w:type="dxa" w:w="221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Coût par utilisateur régulier</w:t>
            </w:r>
          </w:p>
        </w:tc>
        <w:tc>
          <w:tcPr>
            <w:tcW w:type="dxa" w:w="2699"/>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Coût complet ÷ nombre d'utilisateurs actifs hebdomadaires.</w:t>
            </w:r>
          </w:p>
        </w:tc>
        <w:tc>
          <w:tcPr>
            <w:tcW w:type="dxa" w:w="1060"/>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Trimestriel</w:t>
            </w:r>
          </w:p>
        </w:tc>
        <w:tc>
          <w:tcPr>
            <w:tcW w:type="dxa" w:w="964"/>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r>
      <w:tr>
        <w:trPr>
          <w:cantSplit/>
          <w:tblHeader w:val="false"/>
        </w:trPr>
        <w:tc>
          <w:tcPr>
            <w:tcW w:type="dxa" w:w="221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Licences inactives</w:t>
            </w:r>
          </w:p>
        </w:tc>
        <w:tc>
          <w:tcPr>
            <w:tcW w:type="dxa" w:w="2699"/>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Licences sans usage depuis 3 mois, et coût associé.</w:t>
            </w:r>
          </w:p>
        </w:tc>
        <w:tc>
          <w:tcPr>
            <w:tcW w:type="dxa" w:w="1060"/>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Trimestriel</w:t>
            </w:r>
          </w:p>
        </w:tc>
        <w:tc>
          <w:tcPr>
            <w:tcW w:type="dxa" w:w="964"/>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r>
      <w:tr>
        <w:trPr>
          <w:cantSplit/>
          <w:tblHeader w:val="false"/>
        </w:trPr>
        <w:tc>
          <w:tcPr>
            <w:tcW w:type="dxa" w:w="221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Taux de reprise</w:t>
            </w:r>
          </w:p>
        </w:tc>
        <w:tc>
          <w:tcPr>
            <w:tcW w:type="dxa" w:w="2699"/>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Part des livrables générés nécessitant une correction lourde. Sondage de 15 livrables.</w:t>
            </w:r>
          </w:p>
        </w:tc>
        <w:tc>
          <w:tcPr>
            <w:tcW w:type="dxa" w:w="1060"/>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Mensuel</w:t>
            </w:r>
          </w:p>
        </w:tc>
        <w:tc>
          <w:tcPr>
            <w:tcW w:type="dxa" w:w="964"/>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r>
      <w:tr>
        <w:trPr>
          <w:cantSplit/>
          <w:tblHeader w:val="false"/>
        </w:trPr>
        <w:tc>
          <w:tcPr>
            <w:tcW w:type="dxa" w:w="221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Incidents signalés</w:t>
            </w:r>
          </w:p>
        </w:tc>
        <w:tc>
          <w:tcPr>
            <w:tcW w:type="dxa" w:w="2699"/>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Signalements liés à l'usage de l'IA (donnée, contenu erroné diffusé, hors charte).</w:t>
            </w:r>
          </w:p>
        </w:tc>
        <w:tc>
          <w:tcPr>
            <w:tcW w:type="dxa" w:w="1060"/>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Mensuel</w:t>
            </w:r>
          </w:p>
        </w:tc>
        <w:tc>
          <w:tcPr>
            <w:tcW w:type="dxa" w:w="964"/>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r>
      <w:tr>
        <w:trPr>
          <w:cantSplit/>
          <w:tblHeader w:val="false"/>
        </w:trPr>
        <w:tc>
          <w:tcPr>
            <w:tcW w:type="dxa" w:w="221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Usage sur comptes personnels</w:t>
            </w:r>
          </w:p>
        </w:tc>
        <w:tc>
          <w:tcPr>
            <w:tcW w:type="dxa" w:w="2699"/>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Part d'utilisateurs déclarant recourir à un compte personnel. Baromètre.</w:t>
            </w:r>
          </w:p>
        </w:tc>
        <w:tc>
          <w:tcPr>
            <w:tcW w:type="dxa" w:w="1060"/>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Trimestriel</w:t>
            </w:r>
          </w:p>
        </w:tc>
        <w:tc>
          <w:tcPr>
            <w:tcW w:type="dxa" w:w="964"/>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c>
          <w:tcPr>
            <w:tcW w:type="dxa" w:w="675"/>
            <w:tcMar>
              <w:top w:type="dxa" w:w="80"/>
              <w:left w:type="dxa" w:w="110"/>
              <w:bottom w:type="dxa" w:w="80"/>
              <w:right w:type="dxa" w:w="110"/>
            </w:tcMar>
            <w:vAlign w:val="top"/>
          </w:tcPr>
          <w:p>
            <w:pPr>
              <w:spacing w:after="40" w:line="260"/>
            </w:pPr>
          </w:p>
        </w:tc>
      </w:tr>
    </w:tbl>
    <w:p>
      <w:pPr>
        <w:pStyle w:val="Heading1"/>
        <w:pageBreakBefore/>
        <w:spacing w:after="240" w:before="0"/>
      </w:pPr>
      <w:r>
        <w:rPr>
          <w:rFonts w:ascii="Calibri" w:cs="Calibri" w:eastAsia="Calibri" w:hAnsi="Calibri"/>
        </w:rPr>
        <w:t xml:space="preserve">Annexe B. Fiche de mesure avant / après</w:t>
      </w:r>
    </w:p>
    <w:p>
      <w:pPr>
        <w:spacing w:after="140" w:before="0" w:line="276"/>
      </w:pPr>
      <w:r>
        <w:rPr>
          <w:rFonts w:ascii="Calibri" w:cs="Calibri" w:eastAsia="Calibri" w:hAnsi="Calibri"/>
        </w:rPr>
        <w:t xml:space="preserve">Une fiche par pilote mesuré. Elle tient sur deux pages et constitue la preuve la plus solide du bilan annuel.</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3084"/>
        <w:gridCol w:w="6554"/>
      </w:tblGrid>
      <w:tr>
        <w:trPr>
          <w:cantSplit/>
          <w:tblHeader/>
        </w:trPr>
        <w:tc>
          <w:tcPr>
            <w:tcW w:type="dxa" w:w="3084"/>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Champ</w:t>
            </w:r>
          </w:p>
        </w:tc>
        <w:tc>
          <w:tcPr>
            <w:tcW w:type="dxa" w:w="6554"/>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À compléter</w:t>
            </w: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Nom du pilote et direction concernée</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Tâche mesurée (description précise du livrable)</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Ce qui est inclus dans le temps mesuré</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Ce qui en est exclu</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Personnes participant à la mesure (nombre, fonctions)</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Outil, prompt ou assistant utilisé</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Période du relevé « avant » et taille de l'échantillon</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Temps moyen avant (minutes par livrable)</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Durée de la période de prise en main avant le relevé « après »</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Période du relevé « après » et taille de l'échantillon</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Temps moyen après (minutes par livrable)</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Écart en minutes et en pourcentage</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Contrôle qualité : méthode, nombre de livrables relus, résultat</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Changements survenus pendant la période (volume, modèle de document, effectif)</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Conclusion en une phrase et recommandation (généraliser, prolonger, arrêter)</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Mesure réalisée par / date</w:t>
            </w:r>
          </w:p>
        </w:tc>
        <w:tc>
          <w:tcPr>
            <w:tcW w:type="dxa" w:w="6554"/>
            <w:tcMar>
              <w:top w:type="dxa" w:w="80"/>
              <w:left w:type="dxa" w:w="110"/>
              <w:bottom w:type="dxa" w:w="80"/>
              <w:right w:type="dxa" w:w="110"/>
            </w:tcMar>
            <w:vAlign w:val="top"/>
          </w:tcPr>
          <w:p>
            <w:pPr>
              <w:spacing w:after="40" w:line="260"/>
            </w:pPr>
          </w:p>
        </w:tc>
      </w:tr>
    </w:tbl>
    <w:p>
      <w:pPr>
        <w:spacing w:after="120"/>
      </w:pPr>
    </w:p>
    <w:p>
      <w:pPr>
        <w:pStyle w:val="Heading2"/>
        <w:keepNext/>
        <w:spacing w:after="140" w:before="320"/>
      </w:pPr>
      <w:r>
        <w:rPr>
          <w:rFonts w:ascii="Calibri" w:cs="Calibri" w:eastAsia="Calibri" w:hAnsi="Calibri"/>
        </w:rPr>
        <w:t xml:space="preserve">Tableau de relevé (à dupliquer pour l'avant et pour l'après)</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1157"/>
        <w:gridCol w:w="2120"/>
        <w:gridCol w:w="1542"/>
        <w:gridCol w:w="1542"/>
        <w:gridCol w:w="1542"/>
        <w:gridCol w:w="1735"/>
      </w:tblGrid>
      <w:tr>
        <w:trPr>
          <w:cantSplit/>
          <w:tblHeader/>
        </w:trPr>
        <w:tc>
          <w:tcPr>
            <w:tcW w:type="dxa" w:w="1157"/>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N°</w:t>
            </w:r>
          </w:p>
        </w:tc>
        <w:tc>
          <w:tcPr>
            <w:tcW w:type="dxa" w:w="2120"/>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Livrable (référence)</w:t>
            </w:r>
          </w:p>
        </w:tc>
        <w:tc>
          <w:tcPr>
            <w:tcW w:type="dxa" w:w="1542"/>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Personne</w:t>
            </w:r>
          </w:p>
        </w:tc>
        <w:tc>
          <w:tcPr>
            <w:tcW w:type="dxa" w:w="1542"/>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Date</w:t>
            </w:r>
          </w:p>
        </w:tc>
        <w:tc>
          <w:tcPr>
            <w:tcW w:type="dxa" w:w="1542"/>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Temps passé (min)</w:t>
            </w:r>
          </w:p>
        </w:tc>
        <w:tc>
          <w:tcPr>
            <w:tcW w:type="dxa" w:w="1735"/>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Remarques</w:t>
            </w:r>
          </w:p>
        </w:tc>
      </w:tr>
      <w:tr>
        <w:trPr>
          <w:cantSplit/>
          <w:tblHeader w:val="false"/>
        </w:trPr>
        <w:tc>
          <w:tcPr>
            <w:tcW w:type="dxa" w:w="115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1</w:t>
            </w:r>
          </w:p>
        </w:tc>
        <w:tc>
          <w:tcPr>
            <w:tcW w:type="dxa" w:w="2120"/>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735"/>
            <w:tcMar>
              <w:top w:type="dxa" w:w="80"/>
              <w:left w:type="dxa" w:w="110"/>
              <w:bottom w:type="dxa" w:w="80"/>
              <w:right w:type="dxa" w:w="110"/>
            </w:tcMar>
            <w:vAlign w:val="top"/>
          </w:tcPr>
          <w:p>
            <w:pPr>
              <w:spacing w:after="40" w:line="260"/>
            </w:pPr>
          </w:p>
        </w:tc>
      </w:tr>
      <w:tr>
        <w:trPr>
          <w:cantSplit/>
          <w:tblHeader w:val="false"/>
        </w:trPr>
        <w:tc>
          <w:tcPr>
            <w:tcW w:type="dxa" w:w="115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2</w:t>
            </w:r>
          </w:p>
        </w:tc>
        <w:tc>
          <w:tcPr>
            <w:tcW w:type="dxa" w:w="2120"/>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735"/>
            <w:tcMar>
              <w:top w:type="dxa" w:w="80"/>
              <w:left w:type="dxa" w:w="110"/>
              <w:bottom w:type="dxa" w:w="80"/>
              <w:right w:type="dxa" w:w="110"/>
            </w:tcMar>
            <w:vAlign w:val="top"/>
          </w:tcPr>
          <w:p>
            <w:pPr>
              <w:spacing w:after="40" w:line="260"/>
            </w:pPr>
          </w:p>
        </w:tc>
      </w:tr>
      <w:tr>
        <w:trPr>
          <w:cantSplit/>
          <w:tblHeader w:val="false"/>
        </w:trPr>
        <w:tc>
          <w:tcPr>
            <w:tcW w:type="dxa" w:w="115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3</w:t>
            </w:r>
          </w:p>
        </w:tc>
        <w:tc>
          <w:tcPr>
            <w:tcW w:type="dxa" w:w="2120"/>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735"/>
            <w:tcMar>
              <w:top w:type="dxa" w:w="80"/>
              <w:left w:type="dxa" w:w="110"/>
              <w:bottom w:type="dxa" w:w="80"/>
              <w:right w:type="dxa" w:w="110"/>
            </w:tcMar>
            <w:vAlign w:val="top"/>
          </w:tcPr>
          <w:p>
            <w:pPr>
              <w:spacing w:after="40" w:line="260"/>
            </w:pPr>
          </w:p>
        </w:tc>
      </w:tr>
      <w:tr>
        <w:trPr>
          <w:cantSplit/>
          <w:tblHeader w:val="false"/>
        </w:trPr>
        <w:tc>
          <w:tcPr>
            <w:tcW w:type="dxa" w:w="115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4</w:t>
            </w:r>
          </w:p>
        </w:tc>
        <w:tc>
          <w:tcPr>
            <w:tcW w:type="dxa" w:w="2120"/>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735"/>
            <w:tcMar>
              <w:top w:type="dxa" w:w="80"/>
              <w:left w:type="dxa" w:w="110"/>
              <w:bottom w:type="dxa" w:w="80"/>
              <w:right w:type="dxa" w:w="110"/>
            </w:tcMar>
            <w:vAlign w:val="top"/>
          </w:tcPr>
          <w:p>
            <w:pPr>
              <w:spacing w:after="40" w:line="260"/>
            </w:pPr>
          </w:p>
        </w:tc>
      </w:tr>
      <w:tr>
        <w:trPr>
          <w:cantSplit/>
          <w:tblHeader w:val="false"/>
        </w:trPr>
        <w:tc>
          <w:tcPr>
            <w:tcW w:type="dxa" w:w="115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5</w:t>
            </w:r>
          </w:p>
        </w:tc>
        <w:tc>
          <w:tcPr>
            <w:tcW w:type="dxa" w:w="2120"/>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735"/>
            <w:tcMar>
              <w:top w:type="dxa" w:w="80"/>
              <w:left w:type="dxa" w:w="110"/>
              <w:bottom w:type="dxa" w:w="80"/>
              <w:right w:type="dxa" w:w="110"/>
            </w:tcMar>
            <w:vAlign w:val="top"/>
          </w:tcPr>
          <w:p>
            <w:pPr>
              <w:spacing w:after="40" w:line="260"/>
            </w:pPr>
          </w:p>
        </w:tc>
      </w:tr>
      <w:tr>
        <w:trPr>
          <w:cantSplit/>
          <w:tblHeader w:val="false"/>
        </w:trPr>
        <w:tc>
          <w:tcPr>
            <w:tcW w:type="dxa" w:w="115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6</w:t>
            </w:r>
          </w:p>
        </w:tc>
        <w:tc>
          <w:tcPr>
            <w:tcW w:type="dxa" w:w="2120"/>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735"/>
            <w:tcMar>
              <w:top w:type="dxa" w:w="80"/>
              <w:left w:type="dxa" w:w="110"/>
              <w:bottom w:type="dxa" w:w="80"/>
              <w:right w:type="dxa" w:w="110"/>
            </w:tcMar>
            <w:vAlign w:val="top"/>
          </w:tcPr>
          <w:p>
            <w:pPr>
              <w:spacing w:after="40" w:line="260"/>
            </w:pPr>
          </w:p>
        </w:tc>
      </w:tr>
      <w:tr>
        <w:trPr>
          <w:cantSplit/>
          <w:tblHeader w:val="false"/>
        </w:trPr>
        <w:tc>
          <w:tcPr>
            <w:tcW w:type="dxa" w:w="115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7</w:t>
            </w:r>
          </w:p>
        </w:tc>
        <w:tc>
          <w:tcPr>
            <w:tcW w:type="dxa" w:w="2120"/>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735"/>
            <w:tcMar>
              <w:top w:type="dxa" w:w="80"/>
              <w:left w:type="dxa" w:w="110"/>
              <w:bottom w:type="dxa" w:w="80"/>
              <w:right w:type="dxa" w:w="110"/>
            </w:tcMar>
            <w:vAlign w:val="top"/>
          </w:tcPr>
          <w:p>
            <w:pPr>
              <w:spacing w:after="40" w:line="260"/>
            </w:pPr>
          </w:p>
        </w:tc>
      </w:tr>
      <w:tr>
        <w:trPr>
          <w:cantSplit/>
          <w:tblHeader w:val="false"/>
        </w:trPr>
        <w:tc>
          <w:tcPr>
            <w:tcW w:type="dxa" w:w="115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8</w:t>
            </w:r>
          </w:p>
        </w:tc>
        <w:tc>
          <w:tcPr>
            <w:tcW w:type="dxa" w:w="2120"/>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735"/>
            <w:tcMar>
              <w:top w:type="dxa" w:w="80"/>
              <w:left w:type="dxa" w:w="110"/>
              <w:bottom w:type="dxa" w:w="80"/>
              <w:right w:type="dxa" w:w="110"/>
            </w:tcMar>
            <w:vAlign w:val="top"/>
          </w:tcPr>
          <w:p>
            <w:pPr>
              <w:spacing w:after="40" w:line="260"/>
            </w:pPr>
          </w:p>
        </w:tc>
      </w:tr>
      <w:tr>
        <w:trPr>
          <w:cantSplit/>
          <w:tblHeader w:val="false"/>
        </w:trPr>
        <w:tc>
          <w:tcPr>
            <w:tcW w:type="dxa" w:w="115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9</w:t>
            </w:r>
          </w:p>
        </w:tc>
        <w:tc>
          <w:tcPr>
            <w:tcW w:type="dxa" w:w="2120"/>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735"/>
            <w:tcMar>
              <w:top w:type="dxa" w:w="80"/>
              <w:left w:type="dxa" w:w="110"/>
              <w:bottom w:type="dxa" w:w="80"/>
              <w:right w:type="dxa" w:w="110"/>
            </w:tcMar>
            <w:vAlign w:val="top"/>
          </w:tcPr>
          <w:p>
            <w:pPr>
              <w:spacing w:after="40" w:line="260"/>
            </w:pPr>
          </w:p>
        </w:tc>
      </w:tr>
      <w:tr>
        <w:trPr>
          <w:cantSplit/>
          <w:tblHeader w:val="false"/>
        </w:trPr>
        <w:tc>
          <w:tcPr>
            <w:tcW w:type="dxa" w:w="115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10</w:t>
            </w:r>
          </w:p>
        </w:tc>
        <w:tc>
          <w:tcPr>
            <w:tcW w:type="dxa" w:w="2120"/>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735"/>
            <w:tcMar>
              <w:top w:type="dxa" w:w="80"/>
              <w:left w:type="dxa" w:w="110"/>
              <w:bottom w:type="dxa" w:w="80"/>
              <w:right w:type="dxa" w:w="110"/>
            </w:tcMar>
            <w:vAlign w:val="top"/>
          </w:tcPr>
          <w:p>
            <w:pPr>
              <w:spacing w:after="40" w:line="260"/>
            </w:pPr>
          </w:p>
        </w:tc>
      </w:tr>
      <w:tr>
        <w:trPr>
          <w:cantSplit/>
          <w:tblHeader w:val="false"/>
        </w:trPr>
        <w:tc>
          <w:tcPr>
            <w:tcW w:type="dxa" w:w="115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w:t>
            </w:r>
          </w:p>
        </w:tc>
        <w:tc>
          <w:tcPr>
            <w:tcW w:type="dxa" w:w="2120"/>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735"/>
            <w:tcMar>
              <w:top w:type="dxa" w:w="80"/>
              <w:left w:type="dxa" w:w="110"/>
              <w:bottom w:type="dxa" w:w="80"/>
              <w:right w:type="dxa" w:w="110"/>
            </w:tcMar>
            <w:vAlign w:val="top"/>
          </w:tcPr>
          <w:p>
            <w:pPr>
              <w:spacing w:after="40" w:line="260"/>
            </w:pPr>
          </w:p>
        </w:tc>
      </w:tr>
      <w:tr>
        <w:trPr>
          <w:cantSplit/>
          <w:tblHeader w:val="false"/>
        </w:trPr>
        <w:tc>
          <w:tcPr>
            <w:tcW w:type="dxa" w:w="115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15</w:t>
            </w:r>
          </w:p>
        </w:tc>
        <w:tc>
          <w:tcPr>
            <w:tcW w:type="dxa" w:w="2120"/>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735"/>
            <w:tcMar>
              <w:top w:type="dxa" w:w="80"/>
              <w:left w:type="dxa" w:w="110"/>
              <w:bottom w:type="dxa" w:w="80"/>
              <w:right w:type="dxa" w:w="110"/>
            </w:tcMar>
            <w:vAlign w:val="top"/>
          </w:tcPr>
          <w:p>
            <w:pPr>
              <w:spacing w:after="40" w:line="260"/>
            </w:pPr>
          </w:p>
        </w:tc>
      </w:tr>
      <w:tr>
        <w:trPr>
          <w:cantSplit/>
          <w:tblHeader w:val="false"/>
        </w:trPr>
        <w:tc>
          <w:tcPr>
            <w:tcW w:type="dxa" w:w="115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Moyenne</w:t>
            </w:r>
          </w:p>
        </w:tc>
        <w:tc>
          <w:tcPr>
            <w:tcW w:type="dxa" w:w="2120"/>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542"/>
            <w:tcMar>
              <w:top w:type="dxa" w:w="80"/>
              <w:left w:type="dxa" w:w="110"/>
              <w:bottom w:type="dxa" w:w="80"/>
              <w:right w:type="dxa" w:w="110"/>
            </w:tcMar>
            <w:vAlign w:val="top"/>
          </w:tcPr>
          <w:p>
            <w:pPr>
              <w:spacing w:after="40" w:line="260"/>
            </w:pPr>
          </w:p>
        </w:tc>
        <w:tc>
          <w:tcPr>
            <w:tcW w:type="dxa" w:w="1735"/>
            <w:tcMar>
              <w:top w:type="dxa" w:w="80"/>
              <w:left w:type="dxa" w:w="110"/>
              <w:bottom w:type="dxa" w:w="80"/>
              <w:right w:type="dxa" w:w="110"/>
            </w:tcMar>
            <w:vAlign w:val="top"/>
          </w:tcPr>
          <w:p>
            <w:pPr>
              <w:spacing w:after="40" w:line="260"/>
            </w:pPr>
          </w:p>
        </w:tc>
      </w:tr>
    </w:tbl>
    <w:p>
      <w:pPr>
        <w:pStyle w:val="Heading1"/>
        <w:pageBreakBefore/>
        <w:spacing w:after="240" w:before="0"/>
      </w:pPr>
      <w:r>
        <w:rPr>
          <w:rFonts w:ascii="Calibri" w:cs="Calibri" w:eastAsia="Calibri" w:hAnsi="Calibri"/>
        </w:rPr>
        <w:t xml:space="preserve">Annexe C. Questionnaire du baromètre trimestriel</w:t>
      </w:r>
    </w:p>
    <w:p>
      <w:pPr>
        <w:spacing w:after="140" w:before="0" w:line="276"/>
      </w:pPr>
      <w:r>
        <w:rPr>
          <w:rFonts w:ascii="Calibri" w:cs="Calibri" w:eastAsia="Calibri" w:hAnsi="Calibri"/>
        </w:rPr>
        <w:t xml:space="preserve">Quinze questions, cinq minutes de passation, envoyées à l'ensemble du périmètre à date fixe (par exemple la première semaine de chaque trimestre). Ne modifiez pas les formulations d'une vague à l'autre : c'est leur stabilité qui rend la comparaison possible. Les réponses sont anonymes, avec le seul rattachement à la direction.</w:t>
      </w:r>
    </w:p>
    <w:p>
      <w:pPr>
        <w:pStyle w:val="Heading2"/>
        <w:keepNext/>
        <w:spacing w:after="140" w:before="320"/>
      </w:pPr>
      <w:r>
        <w:rPr>
          <w:rFonts w:ascii="Calibri" w:cs="Calibri" w:eastAsia="Calibri" w:hAnsi="Calibri"/>
        </w:rPr>
        <w:t xml:space="preserve">Usage</w:t>
      </w:r>
    </w:p>
    <w:p>
      <w:pPr>
        <w:pStyle w:val="ListParagraph"/>
        <w:numPr>
          <w:ilvl w:val="0"/>
          <w:numId w:val="2"/>
        </w:numPr>
        <w:spacing w:after="80" w:line="276"/>
      </w:pPr>
      <w:r>
        <w:rPr>
          <w:rFonts w:ascii="Calibri" w:cs="Calibri" w:eastAsia="Calibri" w:hAnsi="Calibri"/>
        </w:rPr>
        <w:t xml:space="preserve">À quelle fréquence utilisez-vous les outils d'IA mis à disposition ? (jamais / moins d'une fois par mois / quelques fois par mois / une à deux fois par semaine / presque tous les jours)</w:t>
      </w:r>
    </w:p>
    <w:p>
      <w:pPr>
        <w:pStyle w:val="ListParagraph"/>
        <w:numPr>
          <w:ilvl w:val="0"/>
          <w:numId w:val="2"/>
        </w:numPr>
        <w:spacing w:after="80" w:line="276"/>
      </w:pPr>
      <w:r>
        <w:rPr>
          <w:rFonts w:ascii="Calibri" w:cs="Calibri" w:eastAsia="Calibri" w:hAnsi="Calibri"/>
        </w:rPr>
        <w:t xml:space="preserve">Quels outils utilisez-vous dans votre travail ? (liste des outils de l'organisation, plus « un outil personnel non fourni par l'organisation »)</w:t>
      </w:r>
    </w:p>
    <w:p>
      <w:pPr>
        <w:pStyle w:val="ListParagraph"/>
        <w:numPr>
          <w:ilvl w:val="0"/>
          <w:numId w:val="2"/>
        </w:numPr>
        <w:spacing w:after="80" w:line="276"/>
      </w:pPr>
      <w:r>
        <w:rPr>
          <w:rFonts w:ascii="Calibri" w:cs="Calibri" w:eastAsia="Calibri" w:hAnsi="Calibri"/>
        </w:rPr>
        <w:t xml:space="preserve">Pour quelles tâches principalement ? (liste de 8 à 10 tâches types, plusieurs réponses possibles)</w:t>
      </w:r>
    </w:p>
    <w:p>
      <w:pPr>
        <w:pStyle w:val="ListParagraph"/>
        <w:numPr>
          <w:ilvl w:val="0"/>
          <w:numId w:val="2"/>
        </w:numPr>
        <w:spacing w:after="80" w:line="276"/>
      </w:pPr>
      <w:r>
        <w:rPr>
          <w:rFonts w:ascii="Calibri" w:cs="Calibri" w:eastAsia="Calibri" w:hAnsi="Calibri"/>
        </w:rPr>
        <w:t xml:space="preserve">Depuis combien de temps utilisez-vous l'IA dans votre travail ? (moins de 3 mois / 3 à 6 mois / 6 à 12 mois / plus d'un an)</w:t>
      </w:r>
    </w:p>
    <w:p>
      <w:pPr>
        <w:pStyle w:val="Heading2"/>
        <w:keepNext/>
        <w:spacing w:after="140" w:before="320"/>
      </w:pPr>
      <w:r>
        <w:rPr>
          <w:rFonts w:ascii="Calibri" w:cs="Calibri" w:eastAsia="Calibri" w:hAnsi="Calibri"/>
        </w:rPr>
        <w:t xml:space="preserve">Valeur perçue</w:t>
      </w:r>
    </w:p>
    <w:p>
      <w:pPr>
        <w:pStyle w:val="ListParagraph"/>
        <w:numPr>
          <w:ilvl w:val="0"/>
          <w:numId w:val="2"/>
        </w:numPr>
        <w:spacing w:after="80" w:line="276"/>
      </w:pPr>
      <w:r>
        <w:rPr>
          <w:rFonts w:ascii="Calibri" w:cs="Calibri" w:eastAsia="Calibri" w:hAnsi="Calibri"/>
        </w:rPr>
        <w:t xml:space="preserve">Sur une semaine de travail typique, combien de temps estimez-vous gagner grâce à ces outils ? (moins de 30 min / 30 min à 1 h / 1 à 2 h / 2 à 4 h / 4 à 8 h / plus de 8 h)</w:t>
      </w:r>
    </w:p>
    <w:p>
      <w:pPr>
        <w:pStyle w:val="ListParagraph"/>
        <w:numPr>
          <w:ilvl w:val="0"/>
          <w:numId w:val="2"/>
        </w:numPr>
        <w:spacing w:after="80" w:line="276"/>
      </w:pPr>
      <w:r>
        <w:rPr>
          <w:rFonts w:ascii="Calibri" w:cs="Calibri" w:eastAsia="Calibri" w:hAnsi="Calibri"/>
        </w:rPr>
        <w:t xml:space="preserve">Sur quelles tâches le gain est-il le plus net ? (question ouverte, deux lignes)</w:t>
      </w:r>
    </w:p>
    <w:p>
      <w:pPr>
        <w:pStyle w:val="ListParagraph"/>
        <w:numPr>
          <w:ilvl w:val="0"/>
          <w:numId w:val="2"/>
        </w:numPr>
        <w:spacing w:after="80" w:line="276"/>
      </w:pPr>
      <w:r>
        <w:rPr>
          <w:rFonts w:ascii="Calibri" w:cs="Calibri" w:eastAsia="Calibri" w:hAnsi="Calibri"/>
        </w:rPr>
        <w:t xml:space="preserve">L'IA a-t-elle amélioré la qualité de vos productions ? (pas du tout / un peu / nettement / je ne sais pas)</w:t>
      </w:r>
    </w:p>
    <w:p>
      <w:pPr>
        <w:pStyle w:val="ListParagraph"/>
        <w:numPr>
          <w:ilvl w:val="0"/>
          <w:numId w:val="2"/>
        </w:numPr>
        <w:spacing w:after="80" w:line="276"/>
      </w:pPr>
      <w:r>
        <w:rPr>
          <w:rFonts w:ascii="Calibri" w:cs="Calibri" w:eastAsia="Calibri" w:hAnsi="Calibri"/>
        </w:rPr>
        <w:t xml:space="preserve">Devez-vous souvent corriger lourdement ce que produit l'IA ? (jamais / parfois / souvent / systématiquement)</w:t>
      </w:r>
    </w:p>
    <w:p>
      <w:pPr>
        <w:pStyle w:val="ListParagraph"/>
        <w:numPr>
          <w:ilvl w:val="0"/>
          <w:numId w:val="2"/>
        </w:numPr>
        <w:spacing w:after="80" w:line="276"/>
      </w:pPr>
      <w:r>
        <w:rPr>
          <w:rFonts w:ascii="Calibri" w:cs="Calibri" w:eastAsia="Calibri" w:hAnsi="Calibri"/>
        </w:rPr>
        <w:t xml:space="preserve">Recommanderiez-vous ces outils à un collègue ? (note de 0 à 10)</w:t>
      </w:r>
    </w:p>
    <w:p>
      <w:pPr>
        <w:pStyle w:val="Heading2"/>
        <w:keepNext/>
        <w:spacing w:after="140" w:before="320"/>
      </w:pPr>
      <w:r>
        <w:rPr>
          <w:rFonts w:ascii="Calibri" w:cs="Calibri" w:eastAsia="Calibri" w:hAnsi="Calibri"/>
        </w:rPr>
        <w:t xml:space="preserve">Freins et besoins</w:t>
      </w:r>
    </w:p>
    <w:p>
      <w:pPr>
        <w:pStyle w:val="ListParagraph"/>
        <w:numPr>
          <w:ilvl w:val="0"/>
          <w:numId w:val="2"/>
        </w:numPr>
        <w:spacing w:after="80" w:line="276"/>
      </w:pPr>
      <w:r>
        <w:rPr>
          <w:rFonts w:ascii="Calibri" w:cs="Calibri" w:eastAsia="Calibri" w:hAnsi="Calibri"/>
        </w:rPr>
        <w:t xml:space="preserve">Qu'est-ce qui vous empêche d'utiliser davantage l'IA ? (manque de temps / manque de formation / je ne vois pas quoi en faire / je n'ai pas confiance dans les résultats / règles de sécurité ou de confidentialité / l'outil ne répond pas à mes besoins / autre)</w:t>
      </w:r>
    </w:p>
    <w:p>
      <w:pPr>
        <w:pStyle w:val="ListParagraph"/>
        <w:numPr>
          <w:ilvl w:val="0"/>
          <w:numId w:val="2"/>
        </w:numPr>
        <w:spacing w:after="80" w:line="276"/>
      </w:pPr>
      <w:r>
        <w:rPr>
          <w:rFonts w:ascii="Calibri" w:cs="Calibri" w:eastAsia="Calibri" w:hAnsi="Calibri"/>
        </w:rPr>
        <w:t xml:space="preserve">Avez-vous suivi une formation ? (non / oui, une sensibilisation courte / oui, un atelier pratique / oui, plusieurs)</w:t>
      </w:r>
    </w:p>
    <w:p>
      <w:pPr>
        <w:pStyle w:val="ListParagraph"/>
        <w:numPr>
          <w:ilvl w:val="0"/>
          <w:numId w:val="2"/>
        </w:numPr>
        <w:spacing w:after="80" w:line="276"/>
      </w:pPr>
      <w:r>
        <w:rPr>
          <w:rFonts w:ascii="Calibri" w:cs="Calibri" w:eastAsia="Calibri" w:hAnsi="Calibri"/>
        </w:rPr>
        <w:t xml:space="preserve">Savez-vous à qui vous adresser en cas de question sur l'IA dans votre équipe ? (oui, un ambassadeur / oui, mon manager / oui, l'IT / non)</w:t>
      </w:r>
    </w:p>
    <w:p>
      <w:pPr>
        <w:pStyle w:val="ListParagraph"/>
        <w:numPr>
          <w:ilvl w:val="0"/>
          <w:numId w:val="2"/>
        </w:numPr>
        <w:spacing w:after="80" w:line="276"/>
      </w:pPr>
      <w:r>
        <w:rPr>
          <w:rFonts w:ascii="Calibri" w:cs="Calibri" w:eastAsia="Calibri" w:hAnsi="Calibri"/>
        </w:rPr>
        <w:t xml:space="preserve">Connaissez-vous les règles de l'organisation sur l'usage de l'IA ? (oui, précisément / de manière générale / non)</w:t>
      </w:r>
    </w:p>
    <w:p>
      <w:pPr>
        <w:pStyle w:val="ListParagraph"/>
        <w:numPr>
          <w:ilvl w:val="0"/>
          <w:numId w:val="2"/>
        </w:numPr>
        <w:spacing w:after="80" w:line="276"/>
      </w:pPr>
      <w:r>
        <w:rPr>
          <w:rFonts w:ascii="Calibri" w:cs="Calibri" w:eastAsia="Calibri" w:hAnsi="Calibri"/>
        </w:rPr>
        <w:t xml:space="preserve">De quoi auriez-vous besoin pour aller plus loin ? (question ouverte, deux lignes)</w:t>
      </w:r>
    </w:p>
    <w:p>
      <w:pPr>
        <w:pStyle w:val="ListParagraph"/>
        <w:numPr>
          <w:ilvl w:val="0"/>
          <w:numId w:val="2"/>
        </w:numPr>
        <w:spacing w:after="80" w:line="276"/>
      </w:pPr>
      <w:r>
        <w:rPr>
          <w:rFonts w:ascii="Calibri" w:cs="Calibri" w:eastAsia="Calibri" w:hAnsi="Calibri"/>
        </w:rPr>
        <w:t xml:space="preserve">Votre direction de rattachement (liste déroulante)</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c>
          <w:tcPr>
            <w:tcW w:type="dxa" w:w="9638"/>
            <w:tcBorders>
              <w:top w:val="none" w:color="FFFFFF" w:sz="0"/>
              <w:left w:val="single" w:color="1F5FBF" w:sz="24"/>
              <w:bottom w:val="none" w:color="FFFFFF" w:sz="0"/>
              <w:right w:val="none" w:color="FFFFFF" w:sz="0"/>
            </w:tcBorders>
            <w:shd w:fill="EAF1FB" w:color="auto" w:val="clear"/>
            <w:tcMar>
              <w:top w:type="dxa" w:w="140"/>
              <w:left w:type="dxa" w:w="200"/>
              <w:bottom w:type="dxa" w:w="100"/>
              <w:right w:type="dxa" w:w="200"/>
            </w:tcMar>
          </w:tcPr>
          <w:p>
            <w:pPr>
              <w:spacing w:after="80"/>
            </w:pPr>
            <w:r>
              <w:rPr>
                <w:rFonts w:ascii="Calibri" w:cs="Calibri" w:eastAsia="Calibri" w:hAnsi="Calibri"/>
                <w:b/>
                <w:bCs/>
                <w:color w:val="0F2D5E"/>
                <w:sz w:val="21"/>
                <w:szCs w:val="21"/>
              </w:rPr>
              <w:t xml:space="preserve">Ce qu'on regarde dans les résultats</w:t>
            </w:r>
          </w:p>
          <w:p>
            <w:pPr>
              <w:spacing w:after="60" w:line="264"/>
            </w:pPr>
            <w:r>
              <w:rPr>
                <w:rFonts w:ascii="Calibri" w:cs="Calibri" w:eastAsia="Calibri" w:hAnsi="Calibri"/>
                <w:sz w:val="20"/>
                <w:szCs w:val="20"/>
              </w:rPr>
              <w:t xml:space="preserve">La médiane du temps gagné chez les seuls utilisateurs réguliers (questions 1 et 5 croisées), son évolution d'une vague à l'autre, la part d'utilisateurs déclarant un outil personnel (question 2), la répartition des freins (question 10) qui dicte le plan d'action du trimestre, et les écarts entre directions (question 15).</w:t>
            </w:r>
          </w:p>
        </w:tc>
      </w:tr>
    </w:tbl>
    <w:p>
      <w:pPr>
        <w:pStyle w:val="Heading1"/>
        <w:pageBreakBefore/>
        <w:spacing w:after="240" w:before="0"/>
      </w:pPr>
      <w:r>
        <w:rPr>
          <w:rFonts w:ascii="Calibri" w:cs="Calibri" w:eastAsia="Calibri" w:hAnsi="Calibri"/>
        </w:rPr>
        <w:t xml:space="preserve">Annexe D. Feuille de calcul du retour sur investissement</w:t>
      </w:r>
    </w:p>
    <w:p>
      <w:pPr>
        <w:pStyle w:val="Heading2"/>
        <w:keepNext/>
        <w:spacing w:after="140" w:before="320"/>
      </w:pPr>
      <w:r>
        <w:rPr>
          <w:rFonts w:ascii="Calibri" w:cs="Calibri" w:eastAsia="Calibri" w:hAnsi="Calibri"/>
        </w:rPr>
        <w:t xml:space="preserve">1. Coûts de la période</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4433"/>
        <w:gridCol w:w="2602"/>
        <w:gridCol w:w="2602"/>
      </w:tblGrid>
      <w:tr>
        <w:trPr>
          <w:cantSplit/>
          <w:tblHeader/>
        </w:trPr>
        <w:tc>
          <w:tcPr>
            <w:tcW w:type="dxa" w:w="4433"/>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Poste</w:t>
            </w:r>
          </w:p>
        </w:tc>
        <w:tc>
          <w:tcPr>
            <w:tcW w:type="dxa" w:w="2602"/>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Méthode de calcul</w:t>
            </w:r>
          </w:p>
        </w:tc>
        <w:tc>
          <w:tcPr>
            <w:tcW w:type="dxa" w:w="2602"/>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Montant</w:t>
            </w:r>
          </w:p>
        </w:tc>
      </w:tr>
      <w:tr>
        <w:trPr>
          <w:cantSplit/>
          <w:tblHeader w:val="false"/>
        </w:trPr>
        <w:tc>
          <w:tcPr>
            <w:tcW w:type="dxa" w:w="4433"/>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Licences</w:t>
            </w:r>
          </w:p>
        </w:tc>
        <w:tc>
          <w:tcPr>
            <w:tcW w:type="dxa" w:w="260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Nombre de licences × tarif annuel réellement payé</w:t>
            </w:r>
          </w:p>
        </w:tc>
        <w:tc>
          <w:tcPr>
            <w:tcW w:type="dxa" w:w="2602"/>
            <w:tcMar>
              <w:top w:type="dxa" w:w="80"/>
              <w:left w:type="dxa" w:w="110"/>
              <w:bottom w:type="dxa" w:w="80"/>
              <w:right w:type="dxa" w:w="110"/>
            </w:tcMar>
            <w:vAlign w:val="top"/>
          </w:tcPr>
          <w:p>
            <w:pPr>
              <w:spacing w:after="40" w:line="260"/>
            </w:pPr>
          </w:p>
        </w:tc>
      </w:tr>
      <w:tr>
        <w:trPr>
          <w:cantSplit/>
          <w:tblHeader w:val="false"/>
        </w:trPr>
        <w:tc>
          <w:tcPr>
            <w:tcW w:type="dxa" w:w="4433"/>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Formation externe</w:t>
            </w:r>
          </w:p>
        </w:tc>
        <w:tc>
          <w:tcPr>
            <w:tcW w:type="dxa" w:w="260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Prestations facturées sur la période</w:t>
            </w:r>
          </w:p>
        </w:tc>
        <w:tc>
          <w:tcPr>
            <w:tcW w:type="dxa" w:w="2602"/>
            <w:tcMar>
              <w:top w:type="dxa" w:w="80"/>
              <w:left w:type="dxa" w:w="110"/>
              <w:bottom w:type="dxa" w:w="80"/>
              <w:right w:type="dxa" w:w="110"/>
            </w:tcMar>
            <w:vAlign w:val="top"/>
          </w:tcPr>
          <w:p>
            <w:pPr>
              <w:spacing w:after="40" w:line="260"/>
            </w:pPr>
          </w:p>
        </w:tc>
      </w:tr>
      <w:tr>
        <w:trPr>
          <w:cantSplit/>
          <w:tblHeader w:val="false"/>
        </w:trPr>
        <w:tc>
          <w:tcPr>
            <w:tcW w:type="dxa" w:w="4433"/>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Temps des participants en formation</w:t>
            </w:r>
          </w:p>
        </w:tc>
        <w:tc>
          <w:tcPr>
            <w:tcW w:type="dxa" w:w="260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Nombre de participants × heures de formation × taux horaire chargé</w:t>
            </w:r>
          </w:p>
        </w:tc>
        <w:tc>
          <w:tcPr>
            <w:tcW w:type="dxa" w:w="2602"/>
            <w:tcMar>
              <w:top w:type="dxa" w:w="80"/>
              <w:left w:type="dxa" w:w="110"/>
              <w:bottom w:type="dxa" w:w="80"/>
              <w:right w:type="dxa" w:w="110"/>
            </w:tcMar>
            <w:vAlign w:val="top"/>
          </w:tcPr>
          <w:p>
            <w:pPr>
              <w:spacing w:after="40" w:line="260"/>
            </w:pPr>
          </w:p>
        </w:tc>
      </w:tr>
      <w:tr>
        <w:trPr>
          <w:cantSplit/>
          <w:tblHeader w:val="false"/>
        </w:trPr>
        <w:tc>
          <w:tcPr>
            <w:tcW w:type="dxa" w:w="4433"/>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Temps du référent IA</w:t>
            </w:r>
          </w:p>
        </w:tc>
        <w:tc>
          <w:tcPr>
            <w:tcW w:type="dxa" w:w="260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Quotité × 1 607 heures × taux horaire chargé</w:t>
            </w:r>
          </w:p>
        </w:tc>
        <w:tc>
          <w:tcPr>
            <w:tcW w:type="dxa" w:w="2602"/>
            <w:tcMar>
              <w:top w:type="dxa" w:w="80"/>
              <w:left w:type="dxa" w:w="110"/>
              <w:bottom w:type="dxa" w:w="80"/>
              <w:right w:type="dxa" w:w="110"/>
            </w:tcMar>
            <w:vAlign w:val="top"/>
          </w:tcPr>
          <w:p>
            <w:pPr>
              <w:spacing w:after="40" w:line="260"/>
            </w:pPr>
          </w:p>
        </w:tc>
      </w:tr>
      <w:tr>
        <w:trPr>
          <w:cantSplit/>
          <w:tblHeader w:val="false"/>
        </w:trPr>
        <w:tc>
          <w:tcPr>
            <w:tcW w:type="dxa" w:w="4433"/>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Temps des ambassadeurs</w:t>
            </w:r>
          </w:p>
        </w:tc>
        <w:tc>
          <w:tcPr>
            <w:tcW w:type="dxa" w:w="260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Nombre × heures consacrées sur l'année × taux horaire chargé</w:t>
            </w:r>
          </w:p>
        </w:tc>
        <w:tc>
          <w:tcPr>
            <w:tcW w:type="dxa" w:w="2602"/>
            <w:tcMar>
              <w:top w:type="dxa" w:w="80"/>
              <w:left w:type="dxa" w:w="110"/>
              <w:bottom w:type="dxa" w:w="80"/>
              <w:right w:type="dxa" w:w="110"/>
            </w:tcMar>
            <w:vAlign w:val="top"/>
          </w:tcPr>
          <w:p>
            <w:pPr>
              <w:spacing w:after="40" w:line="260"/>
            </w:pPr>
          </w:p>
        </w:tc>
      </w:tr>
      <w:tr>
        <w:trPr>
          <w:cantSplit/>
          <w:tblHeader w:val="false"/>
        </w:trPr>
        <w:tc>
          <w:tcPr>
            <w:tcW w:type="dxa" w:w="4433"/>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Temps des porteurs de pilotes</w:t>
            </w:r>
          </w:p>
        </w:tc>
        <w:tc>
          <w:tcPr>
            <w:tcW w:type="dxa" w:w="260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Nombre × heures × taux horaire chargé</w:t>
            </w:r>
          </w:p>
        </w:tc>
        <w:tc>
          <w:tcPr>
            <w:tcW w:type="dxa" w:w="2602"/>
            <w:tcMar>
              <w:top w:type="dxa" w:w="80"/>
              <w:left w:type="dxa" w:w="110"/>
              <w:bottom w:type="dxa" w:w="80"/>
              <w:right w:type="dxa" w:w="110"/>
            </w:tcMar>
            <w:vAlign w:val="top"/>
          </w:tcPr>
          <w:p>
            <w:pPr>
              <w:spacing w:after="40" w:line="260"/>
            </w:pPr>
          </w:p>
        </w:tc>
      </w:tr>
      <w:tr>
        <w:trPr>
          <w:cantSplit/>
          <w:tblHeader w:val="false"/>
        </w:trPr>
        <w:tc>
          <w:tcPr>
            <w:tcW w:type="dxa" w:w="4433"/>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Technique, intégration, API</w:t>
            </w:r>
          </w:p>
        </w:tc>
        <w:tc>
          <w:tcPr>
            <w:tcW w:type="dxa" w:w="260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Développements, connecteurs, consommation d'API</w:t>
            </w:r>
          </w:p>
        </w:tc>
        <w:tc>
          <w:tcPr>
            <w:tcW w:type="dxa" w:w="2602"/>
            <w:tcMar>
              <w:top w:type="dxa" w:w="80"/>
              <w:left w:type="dxa" w:w="110"/>
              <w:bottom w:type="dxa" w:w="80"/>
              <w:right w:type="dxa" w:w="110"/>
            </w:tcMar>
            <w:vAlign w:val="top"/>
          </w:tcPr>
          <w:p>
            <w:pPr>
              <w:spacing w:after="40" w:line="260"/>
            </w:pPr>
          </w:p>
        </w:tc>
      </w:tr>
      <w:tr>
        <w:trPr>
          <w:cantSplit/>
          <w:tblHeader w:val="false"/>
        </w:trPr>
        <w:tc>
          <w:tcPr>
            <w:tcW w:type="dxa" w:w="4433"/>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Conformité et juridique</w:t>
            </w:r>
          </w:p>
        </w:tc>
        <w:tc>
          <w:tcPr>
            <w:tcW w:type="dxa" w:w="260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Temps DPO, RSSI, juridique, prestations d'analyse de risques</w:t>
            </w:r>
          </w:p>
        </w:tc>
        <w:tc>
          <w:tcPr>
            <w:tcW w:type="dxa" w:w="2602"/>
            <w:tcMar>
              <w:top w:type="dxa" w:w="80"/>
              <w:left w:type="dxa" w:w="110"/>
              <w:bottom w:type="dxa" w:w="80"/>
              <w:right w:type="dxa" w:w="110"/>
            </w:tcMar>
            <w:vAlign w:val="top"/>
          </w:tcPr>
          <w:p>
            <w:pPr>
              <w:spacing w:after="40" w:line="260"/>
            </w:pPr>
          </w:p>
        </w:tc>
      </w:tr>
      <w:tr>
        <w:trPr>
          <w:cantSplit/>
          <w:tblHeader w:val="false"/>
        </w:trPr>
        <w:tc>
          <w:tcPr>
            <w:tcW w:type="dxa" w:w="4433"/>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Coût complet de la période</w:t>
            </w:r>
          </w:p>
        </w:tc>
        <w:tc>
          <w:tcPr>
            <w:tcW w:type="dxa" w:w="2602"/>
            <w:tcMar>
              <w:top w:type="dxa" w:w="80"/>
              <w:left w:type="dxa" w:w="110"/>
              <w:bottom w:type="dxa" w:w="80"/>
              <w:right w:type="dxa" w:w="110"/>
            </w:tcMar>
            <w:vAlign w:val="top"/>
          </w:tcPr>
          <w:p>
            <w:pPr>
              <w:spacing w:after="40" w:line="260"/>
            </w:pPr>
          </w:p>
        </w:tc>
        <w:tc>
          <w:tcPr>
            <w:tcW w:type="dxa" w:w="2602"/>
            <w:tcMar>
              <w:top w:type="dxa" w:w="80"/>
              <w:left w:type="dxa" w:w="110"/>
              <w:bottom w:type="dxa" w:w="80"/>
              <w:right w:type="dxa" w:w="110"/>
            </w:tcMar>
            <w:vAlign w:val="top"/>
          </w:tcPr>
          <w:p>
            <w:pPr>
              <w:spacing w:after="40" w:line="260"/>
            </w:pPr>
          </w:p>
        </w:tc>
      </w:tr>
    </w:tbl>
    <w:p>
      <w:pPr>
        <w:spacing w:after="120"/>
      </w:pPr>
    </w:p>
    <w:p>
      <w:pPr>
        <w:pStyle w:val="Heading2"/>
        <w:keepNext/>
        <w:spacing w:after="140" w:before="320"/>
      </w:pPr>
      <w:r>
        <w:rPr>
          <w:rFonts w:ascii="Calibri" w:cs="Calibri" w:eastAsia="Calibri" w:hAnsi="Calibri"/>
        </w:rPr>
        <w:t xml:space="preserve">2. Gain valorisé, en trois scénarios</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3277"/>
        <w:gridCol w:w="2120"/>
        <w:gridCol w:w="2120"/>
        <w:gridCol w:w="2120"/>
      </w:tblGrid>
      <w:tr>
        <w:trPr>
          <w:cantSplit/>
          <w:tblHeader/>
        </w:trPr>
        <w:tc>
          <w:tcPr>
            <w:tcW w:type="dxa" w:w="3277"/>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Paramètre</w:t>
            </w:r>
          </w:p>
        </w:tc>
        <w:tc>
          <w:tcPr>
            <w:tcW w:type="dxa" w:w="2120"/>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Prudent</w:t>
            </w:r>
          </w:p>
        </w:tc>
        <w:tc>
          <w:tcPr>
            <w:tcW w:type="dxa" w:w="2120"/>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Central</w:t>
            </w:r>
          </w:p>
        </w:tc>
        <w:tc>
          <w:tcPr>
            <w:tcW w:type="dxa" w:w="2120"/>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Haut</w:t>
            </w:r>
          </w:p>
        </w:tc>
      </w:tr>
      <w:tr>
        <w:trPr>
          <w:cantSplit/>
          <w:tblHeader w:val="false"/>
        </w:trPr>
        <w:tc>
          <w:tcPr>
            <w:tcW w:type="dxa" w:w="3277"/>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Utilisateurs actifs hebdomadaires</w:t>
            </w:r>
          </w:p>
        </w:tc>
        <w:tc>
          <w:tcPr>
            <w:tcW w:type="dxa" w:w="2120"/>
            <w:tcMar>
              <w:top w:type="dxa" w:w="80"/>
              <w:left w:type="dxa" w:w="110"/>
              <w:bottom w:type="dxa" w:w="80"/>
              <w:right w:type="dxa" w:w="110"/>
            </w:tcMar>
            <w:vAlign w:val="top"/>
          </w:tcPr>
          <w:p>
            <w:pPr>
              <w:spacing w:after="40" w:line="260"/>
            </w:pPr>
          </w:p>
        </w:tc>
        <w:tc>
          <w:tcPr>
            <w:tcW w:type="dxa" w:w="2120"/>
            <w:tcMar>
              <w:top w:type="dxa" w:w="80"/>
              <w:left w:type="dxa" w:w="110"/>
              <w:bottom w:type="dxa" w:w="80"/>
              <w:right w:type="dxa" w:w="110"/>
            </w:tcMar>
            <w:vAlign w:val="top"/>
          </w:tcPr>
          <w:p>
            <w:pPr>
              <w:spacing w:after="40" w:line="260"/>
            </w:pPr>
          </w:p>
        </w:tc>
        <w:tc>
          <w:tcPr>
            <w:tcW w:type="dxa" w:w="2120"/>
            <w:tcMar>
              <w:top w:type="dxa" w:w="80"/>
              <w:left w:type="dxa" w:w="110"/>
              <w:bottom w:type="dxa" w:w="80"/>
              <w:right w:type="dxa" w:w="110"/>
            </w:tcMar>
            <w:vAlign w:val="top"/>
          </w:tcPr>
          <w:p>
            <w:pPr>
              <w:spacing w:after="40" w:line="260"/>
            </w:pPr>
          </w:p>
        </w:tc>
      </w:tr>
      <w:tr>
        <w:trPr>
          <w:cantSplit/>
          <w:tblHeader w:val="false"/>
        </w:trPr>
        <w:tc>
          <w:tcPr>
            <w:tcW w:type="dxa" w:w="3277"/>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Heures gagnées retenues par semaine</w:t>
            </w:r>
          </w:p>
        </w:tc>
        <w:tc>
          <w:tcPr>
            <w:tcW w:type="dxa" w:w="2120"/>
            <w:tcMar>
              <w:top w:type="dxa" w:w="80"/>
              <w:left w:type="dxa" w:w="110"/>
              <w:bottom w:type="dxa" w:w="80"/>
              <w:right w:type="dxa" w:w="110"/>
            </w:tcMar>
            <w:vAlign w:val="top"/>
          </w:tcPr>
          <w:p>
            <w:pPr>
              <w:spacing w:after="40" w:line="260"/>
            </w:pPr>
          </w:p>
        </w:tc>
        <w:tc>
          <w:tcPr>
            <w:tcW w:type="dxa" w:w="2120"/>
            <w:tcMar>
              <w:top w:type="dxa" w:w="80"/>
              <w:left w:type="dxa" w:w="110"/>
              <w:bottom w:type="dxa" w:w="80"/>
              <w:right w:type="dxa" w:w="110"/>
            </w:tcMar>
            <w:vAlign w:val="top"/>
          </w:tcPr>
          <w:p>
            <w:pPr>
              <w:spacing w:after="40" w:line="260"/>
            </w:pPr>
          </w:p>
        </w:tc>
        <w:tc>
          <w:tcPr>
            <w:tcW w:type="dxa" w:w="2120"/>
            <w:tcMar>
              <w:top w:type="dxa" w:w="80"/>
              <w:left w:type="dxa" w:w="110"/>
              <w:bottom w:type="dxa" w:w="80"/>
              <w:right w:type="dxa" w:w="110"/>
            </w:tcMar>
            <w:vAlign w:val="top"/>
          </w:tcPr>
          <w:p>
            <w:pPr>
              <w:spacing w:after="40" w:line="260"/>
            </w:pPr>
          </w:p>
        </w:tc>
      </w:tr>
      <w:tr>
        <w:trPr>
          <w:cantSplit/>
          <w:tblHeader w:val="false"/>
        </w:trPr>
        <w:tc>
          <w:tcPr>
            <w:tcW w:type="dxa" w:w="3277"/>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Semaines travaillées (44 par défaut)</w:t>
            </w:r>
          </w:p>
        </w:tc>
        <w:tc>
          <w:tcPr>
            <w:tcW w:type="dxa" w:w="212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44</w:t>
            </w:r>
          </w:p>
        </w:tc>
        <w:tc>
          <w:tcPr>
            <w:tcW w:type="dxa" w:w="212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44</w:t>
            </w:r>
          </w:p>
        </w:tc>
        <w:tc>
          <w:tcPr>
            <w:tcW w:type="dxa" w:w="212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44</w:t>
            </w:r>
          </w:p>
        </w:tc>
      </w:tr>
      <w:tr>
        <w:trPr>
          <w:cantSplit/>
          <w:tblHeader w:val="false"/>
        </w:trPr>
        <w:tc>
          <w:tcPr>
            <w:tcW w:type="dxa" w:w="3277"/>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Taux horaire chargé</w:t>
            </w:r>
          </w:p>
        </w:tc>
        <w:tc>
          <w:tcPr>
            <w:tcW w:type="dxa" w:w="2120"/>
            <w:tcMar>
              <w:top w:type="dxa" w:w="80"/>
              <w:left w:type="dxa" w:w="110"/>
              <w:bottom w:type="dxa" w:w="80"/>
              <w:right w:type="dxa" w:w="110"/>
            </w:tcMar>
            <w:vAlign w:val="top"/>
          </w:tcPr>
          <w:p>
            <w:pPr>
              <w:spacing w:after="40" w:line="260"/>
            </w:pPr>
          </w:p>
        </w:tc>
        <w:tc>
          <w:tcPr>
            <w:tcW w:type="dxa" w:w="2120"/>
            <w:tcMar>
              <w:top w:type="dxa" w:w="80"/>
              <w:left w:type="dxa" w:w="110"/>
              <w:bottom w:type="dxa" w:w="80"/>
              <w:right w:type="dxa" w:w="110"/>
            </w:tcMar>
            <w:vAlign w:val="top"/>
          </w:tcPr>
          <w:p>
            <w:pPr>
              <w:spacing w:after="40" w:line="260"/>
            </w:pPr>
          </w:p>
        </w:tc>
        <w:tc>
          <w:tcPr>
            <w:tcW w:type="dxa" w:w="2120"/>
            <w:tcMar>
              <w:top w:type="dxa" w:w="80"/>
              <w:left w:type="dxa" w:w="110"/>
              <w:bottom w:type="dxa" w:w="80"/>
              <w:right w:type="dxa" w:w="110"/>
            </w:tcMar>
            <w:vAlign w:val="top"/>
          </w:tcPr>
          <w:p>
            <w:pPr>
              <w:spacing w:after="40" w:line="260"/>
            </w:pPr>
          </w:p>
        </w:tc>
      </w:tr>
      <w:tr>
        <w:trPr>
          <w:cantSplit/>
          <w:tblHeader w:val="false"/>
        </w:trPr>
        <w:tc>
          <w:tcPr>
            <w:tcW w:type="dxa" w:w="3277"/>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Taux de réalisation</w:t>
            </w:r>
          </w:p>
        </w:tc>
        <w:tc>
          <w:tcPr>
            <w:tcW w:type="dxa" w:w="212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30 %</w:t>
            </w:r>
          </w:p>
        </w:tc>
        <w:tc>
          <w:tcPr>
            <w:tcW w:type="dxa" w:w="212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40 %</w:t>
            </w:r>
          </w:p>
        </w:tc>
        <w:tc>
          <w:tcPr>
            <w:tcW w:type="dxa" w:w="212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60 %</w:t>
            </w:r>
          </w:p>
        </w:tc>
      </w:tr>
      <w:tr>
        <w:trPr>
          <w:cantSplit/>
          <w:tblHeader w:val="false"/>
        </w:trPr>
        <w:tc>
          <w:tcPr>
            <w:tcW w:type="dxa" w:w="3277"/>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Gain annuel valorisé</w:t>
            </w:r>
          </w:p>
        </w:tc>
        <w:tc>
          <w:tcPr>
            <w:tcW w:type="dxa" w:w="2120"/>
            <w:tcMar>
              <w:top w:type="dxa" w:w="80"/>
              <w:left w:type="dxa" w:w="110"/>
              <w:bottom w:type="dxa" w:w="80"/>
              <w:right w:type="dxa" w:w="110"/>
            </w:tcMar>
            <w:vAlign w:val="top"/>
          </w:tcPr>
          <w:p>
            <w:pPr>
              <w:spacing w:after="40" w:line="260"/>
            </w:pPr>
          </w:p>
        </w:tc>
        <w:tc>
          <w:tcPr>
            <w:tcW w:type="dxa" w:w="2120"/>
            <w:tcMar>
              <w:top w:type="dxa" w:w="80"/>
              <w:left w:type="dxa" w:w="110"/>
              <w:bottom w:type="dxa" w:w="80"/>
              <w:right w:type="dxa" w:w="110"/>
            </w:tcMar>
            <w:vAlign w:val="top"/>
          </w:tcPr>
          <w:p>
            <w:pPr>
              <w:spacing w:after="40" w:line="260"/>
            </w:pPr>
          </w:p>
        </w:tc>
        <w:tc>
          <w:tcPr>
            <w:tcW w:type="dxa" w:w="2120"/>
            <w:tcMar>
              <w:top w:type="dxa" w:w="80"/>
              <w:left w:type="dxa" w:w="110"/>
              <w:bottom w:type="dxa" w:w="80"/>
              <w:right w:type="dxa" w:w="110"/>
            </w:tcMar>
            <w:vAlign w:val="top"/>
          </w:tcPr>
          <w:p>
            <w:pPr>
              <w:spacing w:after="40" w:line="260"/>
            </w:pPr>
          </w:p>
        </w:tc>
      </w:tr>
    </w:tbl>
    <w:p>
      <w:pPr>
        <w:spacing w:after="120"/>
      </w:pPr>
    </w:p>
    <w:p>
      <w:pPr>
        <w:pStyle w:val="Heading2"/>
        <w:keepNext/>
        <w:spacing w:after="140" w:before="320"/>
      </w:pPr>
      <w:r>
        <w:rPr>
          <w:rFonts w:ascii="Calibri" w:cs="Calibri" w:eastAsia="Calibri" w:hAnsi="Calibri"/>
        </w:rPr>
        <w:t xml:space="preserve">3. Résultat</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4433"/>
        <w:gridCol w:w="5205"/>
      </w:tblGrid>
      <w:tr>
        <w:trPr>
          <w:cantSplit/>
          <w:tblHeader/>
        </w:trPr>
        <w:tc>
          <w:tcPr>
            <w:tcW w:type="dxa" w:w="4433"/>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Indicateur</w:t>
            </w:r>
          </w:p>
        </w:tc>
        <w:tc>
          <w:tcPr>
            <w:tcW w:type="dxa" w:w="5205"/>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Valeur</w:t>
            </w:r>
          </w:p>
        </w:tc>
      </w:tr>
      <w:tr>
        <w:trPr>
          <w:cantSplit/>
          <w:tblHeader w:val="false"/>
        </w:trPr>
        <w:tc>
          <w:tcPr>
            <w:tcW w:type="dxa" w:w="4433"/>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Gain valorisé (scénario prudent) moins coût complet</w:t>
            </w:r>
          </w:p>
        </w:tc>
        <w:tc>
          <w:tcPr>
            <w:tcW w:type="dxa" w:w="5205"/>
            <w:tcMar>
              <w:top w:type="dxa" w:w="80"/>
              <w:left w:type="dxa" w:w="110"/>
              <w:bottom w:type="dxa" w:w="80"/>
              <w:right w:type="dxa" w:w="110"/>
            </w:tcMar>
            <w:vAlign w:val="top"/>
          </w:tcPr>
          <w:p>
            <w:pPr>
              <w:spacing w:after="40" w:line="260"/>
            </w:pPr>
          </w:p>
        </w:tc>
      </w:tr>
      <w:tr>
        <w:trPr>
          <w:cantSplit/>
          <w:tblHeader w:val="false"/>
        </w:trPr>
        <w:tc>
          <w:tcPr>
            <w:tcW w:type="dxa" w:w="4433"/>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Ratio gain / coût (scénario prudent)</w:t>
            </w:r>
          </w:p>
        </w:tc>
        <w:tc>
          <w:tcPr>
            <w:tcW w:type="dxa" w:w="5205"/>
            <w:tcMar>
              <w:top w:type="dxa" w:w="80"/>
              <w:left w:type="dxa" w:w="110"/>
              <w:bottom w:type="dxa" w:w="80"/>
              <w:right w:type="dxa" w:w="110"/>
            </w:tcMar>
            <w:vAlign w:val="top"/>
          </w:tcPr>
          <w:p>
            <w:pPr>
              <w:spacing w:after="40" w:line="260"/>
            </w:pPr>
          </w:p>
        </w:tc>
      </w:tr>
      <w:tr>
        <w:trPr>
          <w:cantSplit/>
          <w:tblHeader w:val="false"/>
        </w:trPr>
        <w:tc>
          <w:tcPr>
            <w:tcW w:type="dxa" w:w="4433"/>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Coût par utilisateur régulier sur l'année</w:t>
            </w:r>
          </w:p>
        </w:tc>
        <w:tc>
          <w:tcPr>
            <w:tcW w:type="dxa" w:w="5205"/>
            <w:tcMar>
              <w:top w:type="dxa" w:w="80"/>
              <w:left w:type="dxa" w:w="110"/>
              <w:bottom w:type="dxa" w:w="80"/>
              <w:right w:type="dxa" w:w="110"/>
            </w:tcMar>
            <w:vAlign w:val="top"/>
          </w:tcPr>
          <w:p>
            <w:pPr>
              <w:spacing w:after="40" w:line="260"/>
            </w:pPr>
          </w:p>
        </w:tc>
      </w:tr>
      <w:tr>
        <w:trPr>
          <w:cantSplit/>
          <w:tblHeader w:val="false"/>
        </w:trPr>
        <w:tc>
          <w:tcPr>
            <w:tcW w:type="dxa" w:w="4433"/>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Délai de retour estimé, en mois</w:t>
            </w:r>
          </w:p>
        </w:tc>
        <w:tc>
          <w:tcPr>
            <w:tcW w:type="dxa" w:w="5205"/>
            <w:tcMar>
              <w:top w:type="dxa" w:w="80"/>
              <w:left w:type="dxa" w:w="110"/>
              <w:bottom w:type="dxa" w:w="80"/>
              <w:right w:type="dxa" w:w="110"/>
            </w:tcMar>
            <w:vAlign w:val="top"/>
          </w:tcPr>
          <w:p>
            <w:pPr>
              <w:spacing w:after="40" w:line="260"/>
            </w:pPr>
          </w:p>
        </w:tc>
      </w:tr>
    </w:tbl>
    <w:p>
      <w:pPr>
        <w:spacing w:after="120"/>
      </w:pP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c>
          <w:tcPr>
            <w:tcW w:type="dxa" w:w="9638"/>
            <w:tcBorders>
              <w:top w:val="none" w:color="FFFFFF" w:sz="0"/>
              <w:left w:val="single" w:color="1F5FBF" w:sz="24"/>
              <w:bottom w:val="none" w:color="FFFFFF" w:sz="0"/>
              <w:right w:val="none" w:color="FFFFFF" w:sz="0"/>
            </w:tcBorders>
            <w:shd w:fill="EAF1FB" w:color="auto" w:val="clear"/>
            <w:tcMar>
              <w:top w:type="dxa" w:w="140"/>
              <w:left w:type="dxa" w:w="200"/>
              <w:bottom w:type="dxa" w:w="100"/>
              <w:right w:type="dxa" w:w="200"/>
            </w:tcMar>
          </w:tcPr>
          <w:p>
            <w:pPr>
              <w:spacing w:after="80"/>
            </w:pPr>
            <w:r>
              <w:rPr>
                <w:rFonts w:ascii="Calibri" w:cs="Calibri" w:eastAsia="Calibri" w:hAnsi="Calibri"/>
                <w:b/>
                <w:bCs/>
                <w:color w:val="0F2D5E"/>
                <w:sz w:val="21"/>
                <w:szCs w:val="21"/>
              </w:rPr>
              <w:t xml:space="preserve">Hypothèses à écrire sous le tableau, systématiquement</w:t>
            </w:r>
          </w:p>
          <w:p>
            <w:pPr>
              <w:spacing w:after="60" w:line="264"/>
            </w:pPr>
            <w:r>
              <w:rPr>
                <w:rFonts w:ascii="Calibri" w:cs="Calibri" w:eastAsia="Calibri" w:hAnsi="Calibri"/>
                <w:sz w:val="20"/>
                <w:szCs w:val="20"/>
              </w:rPr>
              <w:t xml:space="preserve">Source du temps gagné (baromètre de quelle date, nombre de répondants) et décote appliquée.</w:t>
            </w:r>
          </w:p>
          <w:p>
            <w:pPr>
              <w:spacing w:after="60" w:line="264"/>
            </w:pPr>
            <w:r>
              <w:rPr>
                <w:rFonts w:ascii="Calibri" w:cs="Calibri" w:eastAsia="Calibri" w:hAnsi="Calibri"/>
                <w:sz w:val="20"/>
                <w:szCs w:val="20"/>
              </w:rPr>
              <w:t xml:space="preserve">Population retenue et pourquoi.</w:t>
            </w:r>
          </w:p>
          <w:p>
            <w:pPr>
              <w:spacing w:after="60" w:line="264"/>
            </w:pPr>
            <w:r>
              <w:rPr>
                <w:rFonts w:ascii="Calibri" w:cs="Calibri" w:eastAsia="Calibri" w:hAnsi="Calibri"/>
                <w:sz w:val="20"/>
                <w:szCs w:val="20"/>
              </w:rPr>
              <w:t xml:space="preserve">Taux horaire chargé utilisé et qui l'a fourni.</w:t>
            </w:r>
          </w:p>
          <w:p>
            <w:pPr>
              <w:spacing w:after="60" w:line="264"/>
            </w:pPr>
            <w:r>
              <w:rPr>
                <w:rFonts w:ascii="Calibri" w:cs="Calibri" w:eastAsia="Calibri" w:hAnsi="Calibri"/>
                <w:sz w:val="20"/>
                <w:szCs w:val="20"/>
              </w:rPr>
              <w:t xml:space="preserve">Taux de réalisation retenu et ce qui le justifie.</w:t>
            </w:r>
          </w:p>
          <w:p>
            <w:pPr>
              <w:spacing w:after="60" w:line="264"/>
            </w:pPr>
            <w:r>
              <w:rPr>
                <w:rFonts w:ascii="Calibri" w:cs="Calibri" w:eastAsia="Calibri" w:hAnsi="Calibri"/>
                <w:sz w:val="20"/>
                <w:szCs w:val="20"/>
              </w:rPr>
              <w:t xml:space="preserve">Ce qui n'est pas valorisé : qualité, réactivité, réduction de risque, montée en compétence.</w:t>
            </w:r>
          </w:p>
        </w:tc>
      </w:tr>
    </w:tbl>
    <w:p>
      <w:pPr>
        <w:pStyle w:val="Heading1"/>
        <w:pageBreakBefore/>
        <w:spacing w:after="240" w:before="0"/>
      </w:pPr>
      <w:r>
        <w:rPr>
          <w:rFonts w:ascii="Calibri" w:cs="Calibri" w:eastAsia="Calibri" w:hAnsi="Calibri"/>
        </w:rPr>
        <w:t xml:space="preserve">Annexe E. Trame du bilan au comité de direction</w:t>
      </w:r>
    </w:p>
    <w:p>
      <w:pPr>
        <w:spacing w:after="140" w:before="0" w:line="276"/>
      </w:pPr>
      <w:r>
        <w:rPr>
          <w:rFonts w:ascii="Calibri" w:cs="Calibri" w:eastAsia="Calibri" w:hAnsi="Calibri"/>
        </w:rPr>
        <w:t xml:space="preserve">Cinq pages, vingt minutes de présentation, dix minutes de décision. À préparer avec le contrôle de gestion et à envoyer quarante-huit heures avant la séance.</w:t>
      </w:r>
    </w:p>
    <w:p>
      <w:pPr>
        <w:pStyle w:val="Heading2"/>
        <w:keepNext/>
        <w:spacing w:after="140" w:before="320"/>
      </w:pPr>
      <w:r>
        <w:rPr>
          <w:rFonts w:ascii="Calibri" w:cs="Calibri" w:eastAsia="Calibri" w:hAnsi="Calibri"/>
        </w:rPr>
        <w:t xml:space="preserve">Page 1. Où nous en sommes</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Taux d'usage régulier : valeur de départ, valeur actuelle, cible.</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Nombre de personnes formées et part de l'effectif du périmètre.</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Nombre de cas d'usage documentés et taux de réutilisation.</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Une phrase de synthèse, pas plus.</w:t>
      </w:r>
    </w:p>
    <w:p>
      <w:pPr>
        <w:pStyle w:val="Heading2"/>
        <w:keepNext/>
        <w:spacing w:after="140" w:before="320"/>
      </w:pPr>
      <w:r>
        <w:rPr>
          <w:rFonts w:ascii="Calibri" w:cs="Calibri" w:eastAsia="Calibri" w:hAnsi="Calibri"/>
        </w:rPr>
        <w:t xml:space="preserve">Page 2. Ce que ça nous apporte</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Résultat du ou des pilotes mesurés : écart avant / après, échantillons, qualité.</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Temps gagné déclaré et temps retenu après décote, avec le nombre de répondants.</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Un ou deux indicateurs de processus, en courbe, avec la date de déploiement signalée.</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Les autres formes de valeur, listées avec leur preuve.</w:t>
      </w:r>
    </w:p>
    <w:p>
      <w:pPr>
        <w:pStyle w:val="Heading2"/>
        <w:keepNext/>
        <w:spacing w:after="140" w:before="320"/>
      </w:pPr>
      <w:r>
        <w:rPr>
          <w:rFonts w:ascii="Calibri" w:cs="Calibri" w:eastAsia="Calibri" w:hAnsi="Calibri"/>
        </w:rPr>
        <w:t xml:space="preserve">Page 3. Ce que ça nous coûte</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Coût complet par poste, avec le temps interne visible.</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Coût par utilisateur régulier, et son évolution.</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Nombre de licences inactives et coût associé.</w:t>
      </w:r>
    </w:p>
    <w:p>
      <w:pPr>
        <w:pStyle w:val="Heading2"/>
        <w:keepNext/>
        <w:spacing w:after="140" w:before="320"/>
      </w:pPr>
      <w:r>
        <w:rPr>
          <w:rFonts w:ascii="Calibri" w:cs="Calibri" w:eastAsia="Calibri" w:hAnsi="Calibri"/>
        </w:rPr>
        <w:t xml:space="preserve">Page 4. Le retour sur investissement</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Les trois scénarios, le prudent mis en avant.</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Les hypothèses écrites sur la même page.</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Ce qui n'est pas valorisé, dit explicitement.</w:t>
      </w:r>
    </w:p>
    <w:p>
      <w:pPr>
        <w:pStyle w:val="Heading2"/>
        <w:keepNext/>
        <w:spacing w:after="140" w:before="320"/>
      </w:pPr>
      <w:r>
        <w:rPr>
          <w:rFonts w:ascii="Calibri" w:cs="Calibri" w:eastAsia="Calibri" w:hAnsi="Calibri"/>
        </w:rPr>
        <w:t xml:space="preserve">Page 5. Ce que nous proposons</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Ce que nous arrêtons, et l'économie associée.</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Ce que nous maintenons, et pourquoi c'est structurant.</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Ce dans quoi nous proposons d'investir, avec le montant et le gain attendu.</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La décision demandée au comité, en une phrase.</w:t>
      </w:r>
    </w:p>
    <w:p>
      <w:pPr>
        <w:pStyle w:val="Heading1"/>
        <w:pageBreakBefore/>
        <w:spacing w:after="240" w:before="0"/>
      </w:pPr>
      <w:r>
        <w:rPr>
          <w:rFonts w:ascii="Calibri" w:cs="Calibri" w:eastAsia="Calibri" w:hAnsi="Calibri"/>
        </w:rPr>
        <w:t xml:space="preserve">Annexe F. Questions fréquentes</w:t>
      </w:r>
    </w:p>
    <w:p>
      <w:pPr>
        <w:pStyle w:val="Heading3"/>
        <w:keepNext/>
        <w:spacing w:after="100" w:before="220"/>
      </w:pPr>
      <w:r>
        <w:rPr>
          <w:rFonts w:ascii="Calibri" w:cs="Calibri" w:eastAsia="Calibri" w:hAnsi="Calibri"/>
        </w:rPr>
        <w:t xml:space="preserve">« Par où commencer si nous n'avons rien mesuré jusqu'ici ? »</w:t>
      </w:r>
    </w:p>
    <w:p>
      <w:pPr>
        <w:spacing w:after="140" w:before="0" w:line="276"/>
      </w:pPr>
      <w:r>
        <w:rPr>
          <w:rFonts w:ascii="Calibri" w:cs="Calibri" w:eastAsia="Calibri" w:hAnsi="Calibri"/>
        </w:rPr>
        <w:t xml:space="preserve">Par trois choses, dans cet ordre : exporter de la console d'administration le taux d'usage régulier des trois derniers mois, lancer la première vague du baromètre, et choisir un pilote à mesurer avant / après sur le prochain déploiement. En six semaines, vous avez un point de départ et une preuve en cours de construction. N'essayez pas de reconstituer l'historique.</w:t>
      </w:r>
    </w:p>
    <w:p>
      <w:pPr>
        <w:pStyle w:val="Heading3"/>
        <w:keepNext/>
        <w:spacing w:after="100" w:before="220"/>
      </w:pPr>
      <w:r>
        <w:rPr>
          <w:rFonts w:ascii="Calibri" w:cs="Calibri" w:eastAsia="Calibri" w:hAnsi="Calibri"/>
        </w:rPr>
        <w:t xml:space="preserve">« Quel niveau d'adoption est normal après un an ? »</w:t>
      </w:r>
    </w:p>
    <w:p>
      <w:pPr>
        <w:spacing w:after="140" w:before="0" w:line="276"/>
      </w:pPr>
      <w:r>
        <w:rPr>
          <w:rFonts w:ascii="Calibri" w:cs="Calibri" w:eastAsia="Calibri" w:hAnsi="Calibri"/>
        </w:rPr>
        <w:t xml:space="preserve">Les écarts entre organisations sont considérables et dépendent surtout du niveau d'accompagnement, pas de l'outil. Plutôt que de chercher une norme externe, fixez votre cible à partir de votre point de départ et de la dispersion entre vos directions : viser le niveau de vos deux meilleures directions pour l'ensemble du périmètre est un objectif à la fois ambitieux et démontrable.</w:t>
      </w:r>
    </w:p>
    <w:p>
      <w:pPr>
        <w:pStyle w:val="Heading3"/>
        <w:keepNext/>
        <w:spacing w:after="100" w:before="220"/>
      </w:pPr>
      <w:r>
        <w:rPr>
          <w:rFonts w:ascii="Calibri" w:cs="Calibri" w:eastAsia="Calibri" w:hAnsi="Calibri"/>
        </w:rPr>
        <w:t xml:space="preserve">« Faut-il mesurer par personne ? »</w:t>
      </w:r>
    </w:p>
    <w:p>
      <w:pPr>
        <w:spacing w:after="140" w:before="0" w:line="276"/>
      </w:pPr>
      <w:r>
        <w:rPr>
          <w:rFonts w:ascii="Calibri" w:cs="Calibri" w:eastAsia="Calibri" w:hAnsi="Calibri"/>
        </w:rPr>
        <w:t xml:space="preserve">Non. La mesure individuelle transforme l'outil en instrument de contrôle, dégrade les déclarations et pose des questions légitimes de la part des représentants du personnel. La maille utile est la direction ou l'équipe, à condition qu'elle compte assez de personnes pour ne pas être nominative de fait.</w:t>
      </w:r>
    </w:p>
    <w:p>
      <w:pPr>
        <w:pStyle w:val="Heading3"/>
        <w:keepNext/>
        <w:spacing w:after="100" w:before="220"/>
      </w:pPr>
      <w:r>
        <w:rPr>
          <w:rFonts w:ascii="Calibri" w:cs="Calibri" w:eastAsia="Calibri" w:hAnsi="Calibri"/>
        </w:rPr>
        <w:t xml:space="preserve">« Le déclaratif a-t-il une valeur ? »</w:t>
      </w:r>
    </w:p>
    <w:p>
      <w:pPr>
        <w:spacing w:after="140" w:before="0" w:line="276"/>
      </w:pPr>
      <w:r>
        <w:rPr>
          <w:rFonts w:ascii="Calibri" w:cs="Calibri" w:eastAsia="Calibri" w:hAnsi="Calibri"/>
        </w:rPr>
        <w:t xml:space="preserve">Oui, à condition de le traiter pour ce qu'il est : une mesure de perception, biaisée à la hausse, dont l'intérêt est l'évolution dans le temps et la comparaison entre directions. Décoté de moitié, il fournit une base de conversion acceptable ; non décoté et présenté comme une mesure, il détruit la crédibilité du reste.</w:t>
      </w:r>
    </w:p>
    <w:p>
      <w:pPr>
        <w:pStyle w:val="Heading3"/>
        <w:keepNext/>
        <w:spacing w:after="100" w:before="220"/>
      </w:pPr>
      <w:r>
        <w:rPr>
          <w:rFonts w:ascii="Calibri" w:cs="Calibri" w:eastAsia="Calibri" w:hAnsi="Calibri"/>
        </w:rPr>
        <w:t xml:space="preserve">« Que répondre si le ROI est négatif la première année ? »</w:t>
      </w:r>
    </w:p>
    <w:p>
      <w:pPr>
        <w:spacing w:after="140" w:before="0" w:line="276"/>
      </w:pPr>
      <w:r>
        <w:rPr>
          <w:rFonts w:ascii="Calibri" w:cs="Calibri" w:eastAsia="Calibri" w:hAnsi="Calibri"/>
        </w:rPr>
        <w:t xml:space="preserve">Que c'est fréquent et normal : les coûts de mise en place, de formation et de pilotage sont concentrés sur l'année 1, les gains montent avec l'adoption. Présentez la trajectoire trimestrielle plutôt que le solde annuel, le coût par utilisateur régulier qui baisse, et la projection de l'année 2 à périmètre équipé. Un bilan honnête avec un solde négatif assumé obtient plus souvent la reconduction qu'un bilan optimiste contesté.</w:t>
      </w:r>
    </w:p>
    <w:p>
      <w:pPr>
        <w:pStyle w:val="Heading3"/>
        <w:keepNext/>
        <w:spacing w:after="100" w:before="220"/>
      </w:pPr>
      <w:r>
        <w:rPr>
          <w:rFonts w:ascii="Calibri" w:cs="Calibri" w:eastAsia="Calibri" w:hAnsi="Calibri"/>
        </w:rPr>
        <w:t xml:space="preserve">« Faut-il publier les chiffres par direction en interne ? »</w:t>
      </w:r>
    </w:p>
    <w:p>
      <w:pPr>
        <w:spacing w:after="140" w:before="0" w:line="276"/>
      </w:pPr>
      <w:r>
        <w:rPr>
          <w:rFonts w:ascii="Calibri" w:cs="Calibri" w:eastAsia="Calibri" w:hAnsi="Calibri"/>
        </w:rPr>
        <w:t xml:space="preserve">Oui, dès lors qu'ils sont présentés comme un état des lieux et non comme un classement de performance, et qu'ils s'accompagnent d'une offre d'accompagnement pour les directions en retard. La comparaison est le levier d'adoption le moins coûteux dont vous disposez.</w:t>
      </w:r>
    </w:p>
    <w:p>
      <w:pPr>
        <w:pStyle w:val="Heading3"/>
        <w:keepNext/>
        <w:spacing w:after="100" w:before="220"/>
      </w:pPr>
      <w:r>
        <w:rPr>
          <w:rFonts w:ascii="Calibri" w:cs="Calibri" w:eastAsia="Calibri" w:hAnsi="Calibri"/>
        </w:rPr>
        <w:t xml:space="preserve">« Comment mesurer la valeur d'un agent ou d'un dossier délégué ? »</w:t>
      </w:r>
    </w:p>
    <w:p>
      <w:pPr>
        <w:spacing w:after="140" w:before="0" w:line="276"/>
      </w:pPr>
      <w:r>
        <w:rPr>
          <w:rFonts w:ascii="Calibri" w:cs="Calibri" w:eastAsia="Calibri" w:hAnsi="Calibri"/>
        </w:rPr>
        <w:t xml:space="preserve">Comme un pilote, mais en comptant deux temps distincts : le temps humain résiduel (brief, relecture, validation) et le temps total écoulé. Le gain se lit sur le temps humain ; le délai se lit sur le temps total. Ajoutez un indicateur de fiabilité : la part des exécutions produisant un livrable exploitable sans reprise.</w:t>
      </w:r>
    </w:p>
    <w:p>
      <w:pPr>
        <w:pStyle w:val="Heading1"/>
        <w:pageBreakBefore/>
        <w:spacing w:after="240" w:before="0"/>
      </w:pPr>
      <w:r>
        <w:rPr>
          <w:rFonts w:ascii="Calibri" w:cs="Calibri" w:eastAsia="Calibri" w:hAnsi="Calibri"/>
        </w:rPr>
        <w:t xml:space="preserve">Annexe G. Auto-évaluation du dispositif de mesure</w:t>
      </w:r>
    </w:p>
    <w:p>
      <w:pPr>
        <w:spacing w:after="140" w:before="0" w:line="276"/>
      </w:pPr>
      <w:r>
        <w:rPr>
          <w:rFonts w:ascii="Calibri" w:cs="Calibri" w:eastAsia="Calibri" w:hAnsi="Calibri"/>
        </w:rPr>
        <w:t xml:space="preserve">Notez chaque affirmation de 0 (pas du tout) à 4 (tout à fait). Le total sur 40 dit où investir en priorité. À refaire à six et douze mois.</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6747"/>
        <w:gridCol w:w="964"/>
        <w:gridCol w:w="964"/>
        <w:gridCol w:w="964"/>
      </w:tblGrid>
      <w:tr>
        <w:trPr>
          <w:cantSplit/>
          <w:tblHeader/>
        </w:trPr>
        <w:tc>
          <w:tcPr>
            <w:tcW w:type="dxa" w:w="6747"/>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Affirmation</w:t>
            </w:r>
          </w:p>
        </w:tc>
        <w:tc>
          <w:tcPr>
            <w:tcW w:type="dxa" w:w="964"/>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Départ</w:t>
            </w:r>
          </w:p>
        </w:tc>
        <w:tc>
          <w:tcPr>
            <w:tcW w:type="dxa" w:w="964"/>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6 mois</w:t>
            </w:r>
          </w:p>
        </w:tc>
        <w:tc>
          <w:tcPr>
            <w:tcW w:type="dxa" w:w="964"/>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12 mois</w:t>
            </w:r>
          </w:p>
        </w:tc>
      </w:tr>
      <w:tr>
        <w:trPr>
          <w:cantSplit/>
          <w:tblHeader w:val="false"/>
        </w:trPr>
        <w:tc>
          <w:tcPr>
            <w:tcW w:type="dxa" w:w="674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Les indicateurs suivis sont définis par écrit et n'ont pas changé depuis le début de l'année.</w:t>
            </w: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r>
      <w:tr>
        <w:trPr>
          <w:cantSplit/>
          <w:tblHeader w:val="false"/>
        </w:trPr>
        <w:tc>
          <w:tcPr>
            <w:tcW w:type="dxa" w:w="674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Un point de départ a été relevé avant le déploiement.</w:t>
            </w: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r>
      <w:tr>
        <w:trPr>
          <w:cantSplit/>
          <w:tblHeader w:val="false"/>
        </w:trPr>
        <w:tc>
          <w:tcPr>
            <w:tcW w:type="dxa" w:w="674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Le taux d'usage régulier est connu chaque mois, et par direction chaque trimestre.</w:t>
            </w: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r>
      <w:tr>
        <w:trPr>
          <w:cantSplit/>
          <w:tblHeader w:val="false"/>
        </w:trPr>
        <w:tc>
          <w:tcPr>
            <w:tcW w:type="dxa" w:w="674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Un baromètre est passé à date fixe, avec les mêmes questions à chaque vague.</w:t>
            </w: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r>
      <w:tr>
        <w:trPr>
          <w:cantSplit/>
          <w:tblHeader w:val="false"/>
        </w:trPr>
        <w:tc>
          <w:tcPr>
            <w:tcW w:type="dxa" w:w="674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Au moins un pilote a été mesuré avant et après, avec contrôle de la qualité.</w:t>
            </w: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r>
      <w:tr>
        <w:trPr>
          <w:cantSplit/>
          <w:tblHeader w:val="false"/>
        </w:trPr>
        <w:tc>
          <w:tcPr>
            <w:tcW w:type="dxa" w:w="674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Au moins un indicateur de processus tenu par le métier est suivi.</w:t>
            </w: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r>
      <w:tr>
        <w:trPr>
          <w:cantSplit/>
          <w:tblHeader w:val="false"/>
        </w:trPr>
        <w:tc>
          <w:tcPr>
            <w:tcW w:type="dxa" w:w="674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Le coût complet inclut le temps interne, validé par le contrôle de gestion.</w:t>
            </w: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r>
      <w:tr>
        <w:trPr>
          <w:cantSplit/>
          <w:tblHeader w:val="false"/>
        </w:trPr>
        <w:tc>
          <w:tcPr>
            <w:tcW w:type="dxa" w:w="674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Les incidents et le taux de reprise sont suivis, pas seulement les gains.</w:t>
            </w: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r>
      <w:tr>
        <w:trPr>
          <w:cantSplit/>
          <w:tblHeader w:val="false"/>
        </w:trPr>
        <w:tc>
          <w:tcPr>
            <w:tcW w:type="dxa" w:w="674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Les chiffres sont présentés au comité de direction à une cadence fixée à l'avance.</w:t>
            </w: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r>
      <w:tr>
        <w:trPr>
          <w:cantSplit/>
          <w:tblHeader w:val="false"/>
        </w:trPr>
        <w:tc>
          <w:tcPr>
            <w:tcW w:type="dxa" w:w="674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Les décisions d'arrêt, de maintien et d'investissement sont prises sur la base de ces chiffres.</w:t>
            </w: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r>
      <w:tr>
        <w:trPr>
          <w:cantSplit/>
          <w:tblHeader w:val="false"/>
        </w:trPr>
        <w:tc>
          <w:tcPr>
            <w:tcW w:type="dxa" w:w="6747"/>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Total sur 40</w:t>
            </w: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r>
    </w:tbl>
    <w:p>
      <w:pPr>
        <w:spacing w:after="120"/>
      </w:pP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1928"/>
        <w:gridCol w:w="7710"/>
      </w:tblGrid>
      <w:tr>
        <w:trPr>
          <w:cantSplit/>
          <w:tblHeader/>
        </w:trPr>
        <w:tc>
          <w:tcPr>
            <w:tcW w:type="dxa" w:w="1928"/>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Score</w:t>
            </w:r>
          </w:p>
        </w:tc>
        <w:tc>
          <w:tcPr>
            <w:tcW w:type="dxa" w:w="7710"/>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Lecture</w:t>
            </w:r>
          </w:p>
        </w:tc>
      </w:tr>
      <w:tr>
        <w:trPr>
          <w:cantSplit/>
          <w:tblHeader w:val="false"/>
        </w:trPr>
        <w:tc>
          <w:tcPr>
            <w:tcW w:type="dxa" w:w="1928"/>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0 à 10</w:t>
            </w:r>
          </w:p>
        </w:tc>
        <w:tc>
          <w:tcPr>
            <w:tcW w:type="dxa" w:w="7710"/>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Aucune mesure.</w:t>
            </w:r>
            <w:r>
              <w:rPr>
                <w:rFonts w:ascii="Calibri" w:cs="Calibri" w:eastAsia="Calibri" w:hAnsi="Calibri"/>
                <w:b w:val="false"/>
                <w:bCs w:val="false"/>
                <w:sz w:val="19"/>
                <w:szCs w:val="19"/>
              </w:rPr>
              <w:t xml:space="preserve"> Priorité : définir quatre indicateurs, relever un point de départ, lancer le premier baromètre (parties 1 et 2).</w:t>
            </w:r>
          </w:p>
        </w:tc>
      </w:tr>
      <w:tr>
        <w:trPr>
          <w:cantSplit/>
          <w:tblHeader w:val="false"/>
        </w:trPr>
        <w:tc>
          <w:tcPr>
            <w:tcW w:type="dxa" w:w="1928"/>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11 à 20</w:t>
            </w:r>
          </w:p>
        </w:tc>
        <w:tc>
          <w:tcPr>
            <w:tcW w:type="dxa" w:w="7710"/>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Mesure d'usage seulement.</w:t>
            </w:r>
            <w:r>
              <w:rPr>
                <w:rFonts w:ascii="Calibri" w:cs="Calibri" w:eastAsia="Calibri" w:hAnsi="Calibri"/>
                <w:b w:val="false"/>
                <w:bCs w:val="false"/>
                <w:sz w:val="19"/>
                <w:szCs w:val="19"/>
              </w:rPr>
              <w:t xml:space="preserve"> Vous savez qui utilise, pas ce que ça apporte. Priorité : un pilote mesuré avant / après (partie 3).</w:t>
            </w:r>
          </w:p>
        </w:tc>
      </w:tr>
      <w:tr>
        <w:trPr>
          <w:cantSplit/>
          <w:tblHeader w:val="false"/>
        </w:trPr>
        <w:tc>
          <w:tcPr>
            <w:tcW w:type="dxa" w:w="1928"/>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21 à 30</w:t>
            </w:r>
          </w:p>
        </w:tc>
        <w:tc>
          <w:tcPr>
            <w:tcW w:type="dxa" w:w="7710"/>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Mesure installée.</w:t>
            </w:r>
            <w:r>
              <w:rPr>
                <w:rFonts w:ascii="Calibri" w:cs="Calibri" w:eastAsia="Calibri" w:hAnsi="Calibri"/>
                <w:b w:val="false"/>
                <w:bCs w:val="false"/>
                <w:sz w:val="19"/>
                <w:szCs w:val="19"/>
              </w:rPr>
              <w:t xml:space="preserve"> Il manque le volet économique. Priorité : le coût complet avec le contrôle de gestion et le calcul en trois scénarios (partie 4).</w:t>
            </w:r>
          </w:p>
        </w:tc>
      </w:tr>
      <w:tr>
        <w:trPr>
          <w:cantSplit/>
          <w:tblHeader w:val="false"/>
        </w:trPr>
        <w:tc>
          <w:tcPr>
            <w:tcW w:type="dxa" w:w="1928"/>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31 à 40</w:t>
            </w:r>
          </w:p>
        </w:tc>
        <w:tc>
          <w:tcPr>
            <w:tcW w:type="dxa" w:w="7710"/>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Dispositif complet.</w:t>
            </w:r>
            <w:r>
              <w:rPr>
                <w:rFonts w:ascii="Calibri" w:cs="Calibri" w:eastAsia="Calibri" w:hAnsi="Calibri"/>
                <w:b w:val="false"/>
                <w:bCs w:val="false"/>
                <w:sz w:val="19"/>
                <w:szCs w:val="19"/>
              </w:rPr>
              <w:t xml:space="preserve"> Priorité : faire vivre la cadence, publier en interne, et relier les arbitrages annuels aux chiffres (partie 5).</w:t>
            </w:r>
          </w:p>
        </w:tc>
      </w:tr>
    </w:tbl>
    <w:p>
      <w:pPr>
        <w:pStyle w:val="Heading1"/>
        <w:pageBreakBefore/>
        <w:spacing w:after="240" w:before="0"/>
      </w:pPr>
      <w:r>
        <w:rPr>
          <w:rFonts w:ascii="Calibri" w:cs="Calibri" w:eastAsia="Calibri" w:hAnsi="Calibri"/>
        </w:rPr>
        <w:t xml:space="preserve">Annexe H. Pour aller plus loin</w:t>
      </w:r>
    </w:p>
    <w:p>
      <w:pPr>
        <w:spacing w:after="140" w:before="0" w:line="276"/>
      </w:pPr>
      <w:r>
        <w:rPr>
          <w:rFonts w:ascii="Calibri" w:cs="Calibri" w:eastAsia="Calibri" w:hAnsi="Calibri"/>
        </w:rPr>
        <w:t xml:space="preserve">Ce kit fait partie d'une série de ressources gratuites publiées par NextStart.AI pour aider les grandes organisations à structurer leur adoption de l'IA générative. Elles se complètent et suivent le parcours d'une première année :</w:t>
      </w:r>
    </w:p>
    <w:p>
      <w:pPr>
        <w:pStyle w:val="ListParagraph"/>
        <w:numPr>
          <w:ilvl w:val="0"/>
          <w:numId w:val="3"/>
        </w:numPr>
        <w:spacing w:after="80" w:line="276"/>
      </w:pPr>
      <w:r>
        <w:rPr>
          <w:rFonts w:ascii="Calibri" w:cs="Calibri" w:eastAsia="Calibri" w:hAnsi="Calibri"/>
          <w:b/>
          <w:bCs/>
        </w:rPr>
        <w:t xml:space="preserve">Kit Feuille de route d'adoption de l'IA en 12 mois</w:t>
      </w:r>
      <w:r>
        <w:rPr>
          <w:rFonts w:ascii="Calibri" w:cs="Calibri" w:eastAsia="Calibri" w:hAnsi="Calibri"/>
        </w:rPr>
        <w:t xml:space="preserve"> : cadrer, prioriser, dérouler, former et piloter, trimestre par trimestre. Le présent kit en développe la cinquième partie.</w:t>
      </w:r>
    </w:p>
    <w:p>
      <w:pPr>
        <w:pStyle w:val="ListParagraph"/>
        <w:numPr>
          <w:ilvl w:val="0"/>
          <w:numId w:val="3"/>
        </w:numPr>
        <w:spacing w:after="80" w:line="276"/>
      </w:pPr>
      <w:r>
        <w:rPr>
          <w:rFonts w:ascii="Calibri" w:cs="Calibri" w:eastAsia="Calibri" w:hAnsi="Calibri"/>
          <w:b/>
          <w:bCs/>
        </w:rPr>
        <w:t xml:space="preserve">Modèle de charte IA entreprise</w:t>
      </w:r>
      <w:r>
        <w:rPr>
          <w:rFonts w:ascii="Calibri" w:cs="Calibri" w:eastAsia="Calibri" w:hAnsi="Calibri"/>
        </w:rPr>
        <w:t xml:space="preserve"> : les règles d'usage à publier dès le premier trimestre, à jour des obligations réglementaires.</w:t>
      </w:r>
    </w:p>
    <w:p>
      <w:pPr>
        <w:pStyle w:val="ListParagraph"/>
        <w:numPr>
          <w:ilvl w:val="0"/>
          <w:numId w:val="3"/>
        </w:numPr>
        <w:spacing w:after="80" w:line="276"/>
      </w:pPr>
      <w:r>
        <w:rPr>
          <w:rFonts w:ascii="Calibri" w:cs="Calibri" w:eastAsia="Calibri" w:hAnsi="Calibri"/>
          <w:b/>
          <w:bCs/>
        </w:rPr>
        <w:t xml:space="preserve">Kit Ambassadeurs IA</w:t>
      </w:r>
      <w:r>
        <w:rPr>
          <w:rFonts w:ascii="Calibri" w:cs="Calibri" w:eastAsia="Calibri" w:hAnsi="Calibri"/>
        </w:rPr>
        <w:t xml:space="preserve"> : monter et animer le réseau de relais internes sans lequel l'adoption plafonne.</w:t>
      </w:r>
    </w:p>
    <w:p>
      <w:pPr>
        <w:pStyle w:val="ListParagraph"/>
        <w:numPr>
          <w:ilvl w:val="0"/>
          <w:numId w:val="3"/>
        </w:numPr>
        <w:spacing w:after="80" w:line="276"/>
      </w:pPr>
      <w:r>
        <w:rPr>
          <w:rFonts w:ascii="Calibri" w:cs="Calibri" w:eastAsia="Calibri" w:hAnsi="Calibri"/>
          <w:b/>
          <w:bCs/>
        </w:rPr>
        <w:t xml:space="preserve">Kit du manager face à l'IA</w:t>
      </w:r>
      <w:r>
        <w:rPr>
          <w:rFonts w:ascii="Calibri" w:cs="Calibri" w:eastAsia="Calibri" w:hAnsi="Calibri"/>
        </w:rPr>
        <w:t xml:space="preserve"> : embarquer son équipe, fixer des attentes d'usage et faire vivre la pratique au quotidien.</w:t>
      </w:r>
    </w:p>
    <w:p>
      <w:pPr>
        <w:pStyle w:val="ListParagraph"/>
        <w:numPr>
          <w:ilvl w:val="0"/>
          <w:numId w:val="3"/>
        </w:numPr>
        <w:spacing w:after="80" w:line="276"/>
      </w:pPr>
      <w:r>
        <w:rPr>
          <w:rFonts w:ascii="Calibri" w:cs="Calibri" w:eastAsia="Calibri" w:hAnsi="Calibri"/>
          <w:b/>
          <w:bCs/>
        </w:rPr>
        <w:t xml:space="preserve">Catalogue IA NextStart</w:t>
      </w:r>
      <w:r>
        <w:rPr>
          <w:rFonts w:ascii="Calibri" w:cs="Calibri" w:eastAsia="Calibri" w:hAnsi="Calibri"/>
        </w:rPr>
        <w:t xml:space="preserve"> : plus d'une centaine de prompts, assistants, agents et configurations Cowork classés par métier, en accès libre sur app.nextstart.ai.</w:t>
      </w:r>
    </w:p>
    <w:p>
      <w:pPr>
        <w:spacing w:after="140" w:before="0" w:line="276"/>
      </w:pPr>
      <w:r>
        <w:rPr>
          <w:rFonts w:ascii="Calibri" w:cs="Calibri" w:eastAsia="Calibri" w:hAnsi="Calibri"/>
        </w:rPr>
        <w:t xml:space="preserve">Sur le volet réglementaire, l'article 4 du règlement (UE) 2024/1689 (AI Act) impose aux organisations qui déploient des systèmes d'IA de garantir un niveau suffisant de maîtrise de l'IA à leur personnel : le registre de formation évoqué dans ce kit sert autant la mesure que la conformité. Vérifiez les échéances en vigueur au moment de votre déploiement.</w:t>
      </w:r>
    </w:p>
    <w:p>
      <w:pPr>
        <w:spacing w:after="120"/>
      </w:pP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c>
          <w:tcPr>
            <w:tcW w:type="dxa" w:w="9638"/>
            <w:tcBorders>
              <w:top w:val="none" w:color="FFFFFF" w:sz="0"/>
              <w:left w:val="single" w:color="1F5FBF" w:sz="24"/>
              <w:bottom w:val="none" w:color="FFFFFF" w:sz="0"/>
              <w:right w:val="none" w:color="FFFFFF" w:sz="0"/>
            </w:tcBorders>
            <w:shd w:fill="EAF1FB" w:color="auto" w:val="clear"/>
            <w:tcMar>
              <w:top w:type="dxa" w:w="140"/>
              <w:left w:type="dxa" w:w="200"/>
              <w:bottom w:type="dxa" w:w="100"/>
              <w:right w:type="dxa" w:w="200"/>
            </w:tcMar>
          </w:tcPr>
          <w:p>
            <w:pPr>
              <w:spacing w:after="80"/>
            </w:pPr>
            <w:r>
              <w:rPr>
                <w:rFonts w:ascii="Calibri" w:cs="Calibri" w:eastAsia="Calibri" w:hAnsi="Calibri"/>
                <w:b/>
                <w:bCs/>
                <w:color w:val="0F2D5E"/>
                <w:sz w:val="21"/>
                <w:szCs w:val="21"/>
              </w:rPr>
              <w:t xml:space="preserve">À propos de NextStart.AI</w:t>
            </w:r>
          </w:p>
          <w:p>
            <w:pPr>
              <w:spacing w:after="60" w:line="264"/>
            </w:pPr>
            <w:r>
              <w:rPr>
                <w:rFonts w:ascii="Calibri" w:cs="Calibri" w:eastAsia="Calibri" w:hAnsi="Calibri"/>
                <w:sz w:val="20"/>
                <w:szCs w:val="20"/>
              </w:rPr>
              <w:t xml:space="preserve">NextStart.AI forme et accompagne les grandes organisations dans leur adoption de l'IA générative depuis 2016 : sensibilisation des comités de direction, formations pratiques par métier (Prompt Party, Masterclass), programmes managers (Change Catalysts), sprints agents et Cowork, et conseil sur la feuille de route et sa mesure. Nous intervenons auprès d'entreprises et d'institutions comme Airbus, le CNES, Engie, le CEA ou Crédit Agricole.</w:t>
            </w:r>
          </w:p>
          <w:p>
            <w:pPr>
              <w:spacing w:after="60" w:line="264"/>
            </w:pPr>
            <w:r>
              <w:rPr>
                <w:rFonts w:ascii="Calibri" w:cs="Calibri" w:eastAsia="Calibri" w:hAnsi="Calibri"/>
                <w:sz w:val="20"/>
                <w:szCs w:val="20"/>
              </w:rPr>
              <w:t xml:space="preserve">Ce document est diffusé librement pour un usage interne. Il peut être adapté et reproduit dans votre organisation en mentionnant sa source. Contact : www.nextstart.ai</w:t>
            </w:r>
          </w:p>
        </w:tc>
      </w:tr>
    </w:tbl>
    <w:sectPr>
      <w:headerReference w:type="default" r:id="rId7"/>
      <w:footerReference w:type="default" r:id="rId8"/>
      <w:pgSz w:w="11906" w:h="16838" w:orient="portrait"/>
      <w:pgMar w:top="1134" w:right="1134" w:bottom="1134" w:left="1134" w:header="567" w:footer="567" w:gutter="0"/>
      <w:pgNumType w:start="2"/>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A6472"/>
        <w:sz w:val="16"/>
        <w:szCs w:val="16"/>
      </w:rPr>
      <w:t xml:space="preserve">Page </w:t>
    </w:r>
    <w:r>
      <w:rPr>
        <w:rFonts w:ascii="Calibri" w:cs="Calibri" w:eastAsia="Calibri" w:hAnsi="Calibri"/>
        <w:color w:val="5A6472"/>
        <w:sz w:val="16"/>
        <w:szCs w:val="16"/>
      </w:rPr>
      <w:fldChar w:fldCharType="begin"/>
      <w:instrText xml:space="preserve">PAGE</w:instrText>
      <w:fldChar w:fldCharType="separate"/>
      <w:fldChar w:fldCharType="end"/>
    </w:r>
    <w:r>
      <w:rPr>
        <w:rFonts w:ascii="Calibri" w:cs="Calibri" w:eastAsia="Calibri" w:hAnsi="Calibri"/>
        <w:color w:val="5A6472"/>
        <w:sz w:val="16"/>
        <w:szCs w:val="16"/>
      </w:rPr>
      <w:t xml:space="preserve">   ·   www.nextstart.ai   ·   Usage interne libre, source à mentionner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D3E0" w:sz="4"/>
      </w:pBdr>
      <w:tabs>
        <w:tab w:val="right" w:pos="9638"/>
      </w:tabs>
      <w:spacing w:after="0"/>
    </w:pPr>
    <w:r>
      <w:rPr>
        <w:rFonts w:ascii="Calibri" w:cs="Calibri" w:eastAsia="Calibri" w:hAnsi="Calibri"/>
        <w:color w:val="5A6472"/>
        <w:sz w:val="16"/>
        <w:szCs w:val="16"/>
      </w:rPr>
      <w:t xml:space="preserve">Kit Mesurer les usages, la valeur et le ROI de l'IA</w:t>
    </w:r>
    <w:r>
      <w:rPr>
        <w:rFonts w:ascii="Calibri" w:cs="Calibri" w:eastAsia="Calibri" w:hAnsi="Calibri"/>
        <w:b/>
        <w:bCs/>
        <w:color w:val="1F5FBF"/>
        <w:sz w:val="16"/>
        <w:szCs w:val="16"/>
      </w:rPr>
      <w:t xml:space="preserve">	NextStart.AI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0" w:hanging="260"/>
      </w:pPr>
      <w:rPr>
        <w:color w:val="1F5FBF"/>
      </w:rPr>
    </w:lvl>
  </w:abstractNum>
  <w:abstractNum w:abstractNumId="3" w15:restartNumberingAfterBreak="0">
    <w:multiLevelType w:val="hybridMultilevel"/>
    <w:lvl w:ilvl="0" w15:tentative="1">
      <w:start w:val="1"/>
      <w:numFmt w:val="decimal"/>
      <w:lvlText w:val="%1."/>
      <w:lvlJc w:val="left"/>
      <w:pPr>
        <w:ind w:left="500" w:hanging="320"/>
      </w:pPr>
      <w:rPr>
        <w:b/>
        <w:bCs/>
        <w:color w:val="1F5FBF"/>
      </w:r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9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0"/>
      <w:outlineLvl w:val="0"/>
    </w:pPr>
    <w:rPr>
      <w:rFonts w:ascii="Calibri" w:cs="Calibri" w:eastAsia="Calibri" w:hAnsi="Calibri"/>
      <w:b/>
      <w:bCs/>
      <w:color w:val="0F2D5E"/>
      <w:sz w:val="40"/>
      <w:szCs w:val="40"/>
    </w:rPr>
  </w:style>
  <w:style w:type="paragraph" w:styleId="Heading2">
    <w:name w:val="Heading 2"/>
    <w:basedOn w:val="Normal"/>
    <w:next w:val="Normal"/>
    <w:qFormat/>
    <w:pPr>
      <w:spacing w:after="140" w:before="320"/>
      <w:outlineLvl w:val="1"/>
    </w:pPr>
    <w:rPr>
      <w:rFonts w:ascii="Calibri" w:cs="Calibri" w:eastAsia="Calibri" w:hAnsi="Calibri"/>
      <w:b/>
      <w:bCs/>
      <w:color w:val="1F5FBF"/>
      <w:sz w:val="28"/>
      <w:szCs w:val="28"/>
    </w:rPr>
  </w:style>
  <w:style w:type="paragraph" w:styleId="Heading3">
    <w:name w:val="Heading 3"/>
    <w:basedOn w:val="Normal"/>
    <w:next w:val="Normal"/>
    <w:qFormat/>
    <w:pPr>
      <w:spacing w:after="100" w:before="220"/>
      <w:outlineLvl w:val="2"/>
    </w:pPr>
    <w:rPr>
      <w:rFonts w:ascii="Calibri" w:cs="Calibri" w:eastAsia="Calibri" w:hAnsi="Calibri"/>
      <w:b/>
      <w:bCs/>
      <w:color w:val="0F2D5E"/>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 Mesurer les usages, la valeur et le ROI de l'IA</dc:title>
  <dc:creator>NextStart.AI</dc:creator>
  <dc:description>Modèle NextStart.AI, édition 2026</dc:description>
  <cp:lastModifiedBy>Un-named</cp:lastModifiedBy>
  <cp:revision>1</cp:revision>
  <dcterms:created xsi:type="dcterms:W3CDTF">2026-09-14T20:44:14.263Z</dcterms:created>
  <dcterms:modified xsi:type="dcterms:W3CDTF">2026-09-14T20:44:14.263Z</dcterms:modified>
</cp:coreProperties>
</file>

<file path=docProps/custom.xml><?xml version="1.0" encoding="utf-8"?>
<Properties xmlns="http://schemas.openxmlformats.org/officeDocument/2006/custom-properties" xmlns:vt="http://schemas.openxmlformats.org/officeDocument/2006/docPropsVTypes"/>
</file>