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800"/>
      </w:pPr>
    </w:p>
    <w:p>
      <w:pPr>
        <w:spacing w:after="200"/>
      </w:pPr>
      <w:r>
        <w:rPr>
          <w:rFonts w:ascii="Calibri" w:cs="Calibri" w:eastAsia="Calibri" w:hAnsi="Calibri"/>
          <w:b/>
          <w:bCs/>
          <w:color w:val="1F5FBF"/>
          <w:spacing w:val="40"/>
          <w:sz w:val="24"/>
          <w:szCs w:val="24"/>
        </w:rPr>
        <w:t xml:space="preserve">KIT PRATIQUE</w:t>
      </w:r>
    </w:p>
    <w:p>
      <w:pPr>
        <w:spacing w:after="0"/>
      </w:pPr>
      <w:r>
        <w:rPr>
          <w:rFonts w:ascii="Calibri" w:cs="Calibri" w:eastAsia="Calibri" w:hAnsi="Calibri"/>
          <w:b/>
          <w:bCs/>
          <w:color w:val="0F2D5E"/>
          <w:sz w:val="72"/>
          <w:szCs w:val="72"/>
        </w:rPr>
        <w:t xml:space="preserve">Feuille de route</w:t>
      </w:r>
    </w:p>
    <w:p>
      <w:pPr>
        <w:spacing w:after="0"/>
      </w:pPr>
      <w:r>
        <w:rPr>
          <w:rFonts w:ascii="Calibri" w:cs="Calibri" w:eastAsia="Calibri" w:hAnsi="Calibri"/>
          <w:b/>
          <w:bCs/>
          <w:color w:val="0F2D5E"/>
          <w:sz w:val="72"/>
          <w:szCs w:val="72"/>
        </w:rPr>
        <w:t xml:space="preserve">d'adoption de l'IA</w:t>
      </w:r>
    </w:p>
    <w:p>
      <w:pPr>
        <w:spacing w:after="400"/>
      </w:pPr>
      <w:r>
        <w:rPr>
          <w:rFonts w:ascii="Calibri" w:cs="Calibri" w:eastAsia="Calibri" w:hAnsi="Calibri"/>
          <w:b/>
          <w:bCs/>
          <w:color w:val="1F5FBF"/>
          <w:sz w:val="72"/>
          <w:szCs w:val="72"/>
        </w:rPr>
        <w:t xml:space="preserve">en 12 mois</w:t>
      </w:r>
    </w:p>
    <w:p>
      <w:pPr>
        <w:spacing w:after="300" w:line="300"/>
      </w:pPr>
      <w:r>
        <w:rPr>
          <w:rFonts w:ascii="Calibri" w:cs="Calibri" w:eastAsia="Calibri" w:hAnsi="Calibri"/>
          <w:color w:val="5A6472"/>
          <w:sz w:val="26"/>
          <w:szCs w:val="26"/>
        </w:rPr>
        <w:t xml:space="preserve">Cadrer, prioriser, piloter et mesurer le déploiement de l'IA générative dans une grande organisation : la méthode, les modèles et le calendrier trimestre par trimestre.</w:t>
      </w:r>
    </w:p>
    <w:p>
      <w:pPr>
        <w:pBdr>
          <w:bottom w:val="single" w:color="1F5FBF" w:sz="12"/>
        </w:pBdr>
        <w:spacing w:after="300"/>
      </w:pPr>
    </w:p>
    <w:p>
      <w:pPr>
        <w:spacing w:after="80"/>
      </w:pPr>
      <w:r>
        <w:rPr>
          <w:rFonts w:ascii="Calibri" w:cs="Calibri" w:eastAsia="Calibri" w:hAnsi="Calibri"/>
          <w:color w:val="5A6472"/>
          <w:sz w:val="22"/>
          <w:szCs w:val="22"/>
        </w:rPr>
        <w:t xml:space="preserve">Édition 2026  ·  Modèle Word modifiable  ·  Usage interne libre</w:t>
      </w:r>
    </w:p>
    <w:p>
      <w:pPr>
        <w:spacing w:after="80"/>
      </w:pPr>
      <w:r>
        <w:rPr>
          <w:rFonts w:ascii="Calibri" w:cs="Calibri" w:eastAsia="Calibri" w:hAnsi="Calibri"/>
          <w:color w:val="5A6472"/>
          <w:sz w:val="22"/>
          <w:szCs w:val="22"/>
        </w:rPr>
        <w:t xml:space="preserve">Réalisé par NextStart.AI, formation et conseil en IA générative pour les grandes organisations</w:t>
      </w:r>
    </w:p>
    <w:p>
      <w:r>
        <w:rPr>
          <w:rFonts w:ascii="Calibri" w:cs="Calibri" w:eastAsia="Calibri" w:hAnsi="Calibri"/>
          <w:b/>
          <w:bCs/>
          <w:color w:val="1F5FBF"/>
          <w:sz w:val="22"/>
          <w:szCs w:val="22"/>
        </w:rPr>
        <w:t xml:space="preserve">www.nextstart.ai</w:t>
      </w:r>
    </w:p>
    <w:p>
      <w:pPr>
        <w:sectPr>
          <w:pgSz w:w="11906" w:h="16838" w:orient="portrait"/>
          <w:pgMar w:top="1134" w:right="1134" w:bottom="1134" w:left="1134" w:header="567" w:footer="567" w:gutter="0"/>
          <w:pgNumType/>
          <w:docGrid w:linePitch="360"/>
        </w:sectPr>
      </w:pPr>
    </w:p>
    <w:p>
      <w:pPr>
        <w:pStyle w:val="Heading1"/>
        <w:pageBreakBefore/>
        <w:spacing w:after="240" w:before="0"/>
      </w:pPr>
      <w:r>
        <w:rPr>
          <w:rFonts w:ascii="Calibri" w:cs="Calibri" w:eastAsia="Calibri" w:hAnsi="Calibri"/>
        </w:rPr>
        <w:t xml:space="preserve">Comment utiliser ce kit</w:t>
      </w:r>
    </w:p>
    <w:p>
      <w:pPr>
        <w:spacing w:after="140" w:before="0" w:line="276"/>
      </w:pPr>
      <w:r>
        <w:rPr>
          <w:rFonts w:ascii="Calibri" w:cs="Calibri" w:eastAsia="Calibri" w:hAnsi="Calibri"/>
        </w:rPr>
        <w:t xml:space="preserve">Ce kit s'adresse à la personne qui porte le sujet IA dans son organisation : direction de la transformation, DRH, DSI, direction de l'innovation, responsable formation ou chef de projet mandaté par un comité de direction. Il part d'un constat simple : la plupart des organisations ont déjà des utilisateurs de ChatGPT, Copilot, Claude, Gemini ou Mistral, souvent sans cadre, et l'enjeu n'est plus de « lancer l'IA » mais d'organiser un déploiement progressif, mesuré et sécurisé sur douze mois.</w:t>
      </w:r>
    </w:p>
    <w:p>
      <w:pPr>
        <w:spacing w:after="140" w:before="0" w:line="276"/>
      </w:pPr>
      <w:r>
        <w:rPr>
          <w:rFonts w:ascii="Calibri" w:cs="Calibri" w:eastAsia="Calibri" w:hAnsi="Calibri"/>
        </w:rPr>
        <w:t xml:space="preserve">Le kit est construit comme un chemin en cinq étapes. Chaque partie contient une méthode courte, un ou plusieurs modèles à remplir et des repères tirés des déploiements que nous accompagnons. Les annexes regroupent les outils prêts à l'emploi : calendrier mois par mois, fiches de cas d'usage et de pilote, ordre du jour de comité, check-list de lancement, auto-évaluation.</w:t>
      </w:r>
    </w:p>
    <w:tbl>
      <w:tblPr>
        <w:tblW w:type="dxa" w:w="9638"/>
        <w:tblBorders>
          <w:top w:val="none" w:color="FFFFFF" w:sz="0"/>
          <w:left w:val="none" w:color="FFFFFF" w:sz="0"/>
          <w:bottom w:val="none" w:color="FFFFFF" w:sz="0"/>
          <w:right w:val="none" w:color="FFFFFF" w:sz="0"/>
          <w:insideH w:val="none" w:color="FFFFFF" w:sz="0"/>
          <w:insideV w:val="none" w:color="FFFFFF" w:sz="0"/>
        </w:tblBorders>
      </w:tblPr>
      <w:tblGrid>
        <w:gridCol w:w="9638"/>
      </w:tblGrid>
      <w:tr>
        <w:tc>
          <w:tcPr>
            <w:tcW w:type="dxa" w:w="9638"/>
            <w:tcBorders>
              <w:top w:val="none" w:color="FFFFFF" w:sz="0"/>
              <w:left w:val="single" w:color="1F5FBF" w:sz="24"/>
              <w:bottom w:val="none" w:color="FFFFFF" w:sz="0"/>
              <w:right w:val="none" w:color="FFFFFF" w:sz="0"/>
            </w:tcBorders>
            <w:shd w:fill="EAF1FB" w:color="auto" w:val="clear"/>
            <w:tcMar>
              <w:top w:type="dxa" w:w="140"/>
              <w:left w:type="dxa" w:w="200"/>
              <w:bottom w:type="dxa" w:w="100"/>
              <w:right w:type="dxa" w:w="200"/>
            </w:tcMar>
          </w:tcPr>
          <w:p>
            <w:pPr>
              <w:spacing w:after="80"/>
            </w:pPr>
            <w:r>
              <w:rPr>
                <w:rFonts w:ascii="Calibri" w:cs="Calibri" w:eastAsia="Calibri" w:hAnsi="Calibri"/>
                <w:b/>
                <w:bCs/>
                <w:color w:val="0F2D5E"/>
                <w:sz w:val="21"/>
                <w:szCs w:val="21"/>
              </w:rPr>
              <w:t xml:space="preserve">Les cinq étapes du kit</w:t>
            </w:r>
          </w:p>
          <w:p>
            <w:pPr>
              <w:spacing w:after="60" w:line="264"/>
            </w:pPr>
            <w:r>
              <w:rPr>
                <w:rFonts w:ascii="Calibri" w:cs="Calibri" w:eastAsia="Calibri" w:hAnsi="Calibri"/>
                <w:b/>
                <w:bCs/>
                <w:sz w:val="20"/>
                <w:szCs w:val="20"/>
              </w:rPr>
              <w:t xml:space="preserve">1. Cadrer</w:t>
            </w:r>
            <w:r>
              <w:rPr>
                <w:rFonts w:ascii="Calibri" w:cs="Calibri" w:eastAsia="Calibri" w:hAnsi="Calibri"/>
                <w:sz w:val="20"/>
                <w:szCs w:val="20"/>
              </w:rPr>
              <w:t xml:space="preserve"> : fixer l'ambition, le périmètre, les principes et une gouvernance minimale, puis établir un diagnostic express.</w:t>
            </w:r>
          </w:p>
          <w:p>
            <w:pPr>
              <w:spacing w:after="60" w:line="264"/>
            </w:pPr>
            <w:r>
              <w:rPr>
                <w:rFonts w:ascii="Calibri" w:cs="Calibri" w:eastAsia="Calibri" w:hAnsi="Calibri"/>
                <w:b/>
                <w:bCs/>
                <w:sz w:val="20"/>
                <w:szCs w:val="20"/>
              </w:rPr>
              <w:t xml:space="preserve">2. Prioriser</w:t>
            </w:r>
            <w:r>
              <w:rPr>
                <w:rFonts w:ascii="Calibri" w:cs="Calibri" w:eastAsia="Calibri" w:hAnsi="Calibri"/>
                <w:sz w:val="20"/>
                <w:szCs w:val="20"/>
              </w:rPr>
              <w:t xml:space="preserve"> : inventorier les cas d'usage, les classer selon leur valeur et leur facilité, choisir les premiers pilotes.</w:t>
            </w:r>
          </w:p>
          <w:p>
            <w:pPr>
              <w:spacing w:after="60" w:line="264"/>
            </w:pPr>
            <w:r>
              <w:rPr>
                <w:rFonts w:ascii="Calibri" w:cs="Calibri" w:eastAsia="Calibri" w:hAnsi="Calibri"/>
                <w:b/>
                <w:bCs/>
                <w:sz w:val="20"/>
                <w:szCs w:val="20"/>
              </w:rPr>
              <w:t xml:space="preserve">3. Dérouler</w:t>
            </w:r>
            <w:r>
              <w:rPr>
                <w:rFonts w:ascii="Calibri" w:cs="Calibri" w:eastAsia="Calibri" w:hAnsi="Calibri"/>
                <w:sz w:val="20"/>
                <w:szCs w:val="20"/>
              </w:rPr>
              <w:t xml:space="preserve"> : suivre la feuille de route en quatre trimestres, avec ses objectifs, ses livrables et ses jalons.</w:t>
            </w:r>
          </w:p>
          <w:p>
            <w:pPr>
              <w:spacing w:after="60" w:line="264"/>
            </w:pPr>
            <w:r>
              <w:rPr>
                <w:rFonts w:ascii="Calibri" w:cs="Calibri" w:eastAsia="Calibri" w:hAnsi="Calibri"/>
                <w:b/>
                <w:bCs/>
                <w:sz w:val="20"/>
                <w:szCs w:val="20"/>
              </w:rPr>
              <w:t xml:space="preserve">4. Former</w:t>
            </w:r>
            <w:r>
              <w:rPr>
                <w:rFonts w:ascii="Calibri" w:cs="Calibri" w:eastAsia="Calibri" w:hAnsi="Calibri"/>
                <w:sz w:val="20"/>
                <w:szCs w:val="20"/>
              </w:rPr>
              <w:t xml:space="preserve"> : construire le plan de formation par population, en cohérence avec l'article 4 de l'AI Act.</w:t>
            </w:r>
          </w:p>
          <w:p>
            <w:pPr>
              <w:spacing w:after="60" w:line="264"/>
            </w:pPr>
            <w:r>
              <w:rPr>
                <w:rFonts w:ascii="Calibri" w:cs="Calibri" w:eastAsia="Calibri" w:hAnsi="Calibri"/>
                <w:b/>
                <w:bCs/>
                <w:sz w:val="20"/>
                <w:szCs w:val="20"/>
              </w:rPr>
              <w:t xml:space="preserve">5. Piloter et mesurer</w:t>
            </w:r>
            <w:r>
              <w:rPr>
                <w:rFonts w:ascii="Calibri" w:cs="Calibri" w:eastAsia="Calibri" w:hAnsi="Calibri"/>
                <w:sz w:val="20"/>
                <w:szCs w:val="20"/>
              </w:rPr>
              <w:t xml:space="preserve"> : installer les rituels, le tableau de bord et les arbitrages qui font tenir la démarche dans la durée.</w:t>
            </w:r>
          </w:p>
        </w:tc>
      </w:tr>
    </w:tbl>
    <w:p>
      <w:pPr>
        <w:spacing w:after="120"/>
      </w:pPr>
    </w:p>
    <w:p>
      <w:pPr>
        <w:pStyle w:val="Heading2"/>
        <w:keepNext/>
        <w:spacing w:after="140" w:before="320"/>
      </w:pPr>
      <w:r>
        <w:rPr>
          <w:rFonts w:ascii="Calibri" w:cs="Calibri" w:eastAsia="Calibri" w:hAnsi="Calibri"/>
        </w:rPr>
        <w:t xml:space="preserve">Trois règles avant de commencer</w:t>
      </w:r>
    </w:p>
    <w:p>
      <w:pPr>
        <w:spacing w:after="140" w:before="0" w:line="276"/>
      </w:pPr>
      <w:r>
        <w:rPr>
          <w:rFonts w:ascii="Calibri" w:cs="Calibri" w:eastAsia="Calibri" w:hAnsi="Calibri"/>
          <w:b/>
          <w:bCs/>
        </w:rPr>
        <w:t xml:space="preserve">Adapter plutôt qu'appliquer.</w:t>
      </w:r>
      <w:r>
        <w:rPr>
          <w:rFonts w:ascii="Calibri" w:cs="Calibri" w:eastAsia="Calibri" w:hAnsi="Calibri"/>
        </w:rPr>
        <w:t xml:space="preserve"> Les durées, les populations et les indicateurs proposés sont des repères pour une organisation de plusieurs centaines à plusieurs milliers de collaborateurs. Une direction régionale ou une filiale peut compresser le calendrier ; un groupe multi-pays le dilatera.</w:t>
      </w:r>
    </w:p>
    <w:p>
      <w:pPr>
        <w:spacing w:after="140" w:before="0" w:line="276"/>
      </w:pPr>
      <w:r>
        <w:rPr>
          <w:rFonts w:ascii="Calibri" w:cs="Calibri" w:eastAsia="Calibri" w:hAnsi="Calibri"/>
          <w:b/>
          <w:bCs/>
        </w:rPr>
        <w:t xml:space="preserve">Commencer petit, mais commencer visible.</w:t>
      </w:r>
      <w:r>
        <w:rPr>
          <w:rFonts w:ascii="Calibri" w:cs="Calibri" w:eastAsia="Calibri" w:hAnsi="Calibri"/>
        </w:rPr>
        <w:t xml:space="preserve"> Les trois premiers mois doivent produire des résultats que les collaborateurs voient : une charte publiée, des sessions de formation qui affichent complet, deux ou trois cas d'usage concrets qui circulent. La légitimité de l'année se joue au premier trimestre.</w:t>
      </w:r>
    </w:p>
    <w:p>
      <w:pPr>
        <w:spacing w:after="140" w:before="0" w:line="276"/>
      </w:pPr>
      <w:r>
        <w:rPr>
          <w:rFonts w:ascii="Calibri" w:cs="Calibri" w:eastAsia="Calibri" w:hAnsi="Calibri"/>
          <w:b/>
          <w:bCs/>
        </w:rPr>
        <w:t xml:space="preserve">Écrire ce qui est décidé.</w:t>
      </w:r>
      <w:r>
        <w:rPr>
          <w:rFonts w:ascii="Calibri" w:cs="Calibri" w:eastAsia="Calibri" w:hAnsi="Calibri"/>
        </w:rPr>
        <w:t xml:space="preserve"> Chaque modèle de ce kit se termine par une zone de décision. Une feuille de route non écrite est une intention ; une feuille de route écrite et datée devient un engagement que le comité de direction peut suivre.</w:t>
      </w:r>
    </w:p>
    <w:p>
      <w:pPr>
        <w:pStyle w:val="Heading2"/>
        <w:keepNext/>
        <w:spacing w:after="140" w:before="320"/>
      </w:pPr>
      <w:r>
        <w:rPr>
          <w:rFonts w:ascii="Calibri" w:cs="Calibri" w:eastAsia="Calibri" w:hAnsi="Calibri"/>
        </w:rPr>
        <w:t xml:space="preserve">Ce que ce kit ne remplace pas</w:t>
      </w:r>
    </w:p>
    <w:p>
      <w:pPr>
        <w:spacing w:after="140" w:before="0" w:line="276"/>
      </w:pPr>
      <w:r>
        <w:rPr>
          <w:rFonts w:ascii="Calibri" w:cs="Calibri" w:eastAsia="Calibri" w:hAnsi="Calibri"/>
        </w:rPr>
        <w:t xml:space="preserve">Il ne se substitue ni à l'analyse juridique de vos contrats fournisseurs, ni à l'analyse de risques de votre RSSI ou de votre DPO, ni au dialogue social propre à votre organisation. Il fournit le cadre dans lequel ces expertises s'insèrent, et les moments du calendrier où il faut les solliciter.</w:t>
      </w:r>
    </w:p>
    <w:p>
      <w:pPr>
        <w:pStyle w:val="Heading1"/>
        <w:pageBreakBefore/>
        <w:spacing w:after="240" w:before="0"/>
      </w:pPr>
      <w:r>
        <w:rPr>
          <w:rFonts w:ascii="Calibri" w:cs="Calibri" w:eastAsia="Calibri" w:hAnsi="Calibri"/>
        </w:rPr>
        <w:t xml:space="preserve">Sommaire</w:t>
      </w:r>
    </w:p>
    <w:sdt>
      <w:sdtPr>
        <w:alias w:val="Sommaire"/>
      </w:sdtPr>
      <w:sdtContent>
        <w:p>
          <w:r>
            <w:fldChar w:fldCharType="begin" w:dirty="true"/>
            <w:instrText xml:space="preserve">TOC \h \o "1-2"</w:instrText>
            <w:fldChar w:fldCharType="separate"/>
          </w:r>
        </w:p>
        <w:p>
          <w:r>
            <w:fldChar w:fldCharType="end"/>
          </w:r>
        </w:p>
      </w:sdtContent>
    </w:sdt>
    <w:p>
      <w:pPr>
        <w:spacing w:after="120"/>
      </w:pPr>
    </w:p>
    <w:p>
      <w:pPr>
        <w:spacing w:after="140" w:before="0" w:line="276"/>
      </w:pPr>
      <w:r>
        <w:rPr>
          <w:rFonts w:ascii="Calibri" w:cs="Calibri" w:eastAsia="Calibri" w:hAnsi="Calibri"/>
          <w:i/>
          <w:iCs/>
          <w:color w:val="5A6472"/>
          <w:sz w:val="18"/>
          <w:szCs w:val="18"/>
        </w:rPr>
        <w:t xml:space="preserve">Le sommaire se met à jour dans Word : clic droit sur la table, puis « Mettre à jour les champs ».</w:t>
      </w:r>
    </w:p>
    <w:p>
      <w:pPr>
        <w:pStyle w:val="Heading1"/>
        <w:pageBreakBefore/>
        <w:spacing w:after="240" w:before="0"/>
      </w:pPr>
      <w:r>
        <w:rPr>
          <w:rFonts w:ascii="Calibri" w:cs="Calibri" w:eastAsia="Calibri" w:hAnsi="Calibri"/>
        </w:rPr>
        <w:t xml:space="preserve">1. Cadrer : ambition, périmètre et gouvernance</w:t>
      </w:r>
    </w:p>
    <w:p>
      <w:pPr>
        <w:spacing w:after="140" w:before="0" w:line="276"/>
      </w:pPr>
      <w:r>
        <w:rPr>
          <w:rFonts w:ascii="Calibri" w:cs="Calibri" w:eastAsia="Calibri" w:hAnsi="Calibri"/>
        </w:rPr>
        <w:t xml:space="preserve">Un déploiement d'IA qui échoue échoue rarement pour des raisons techniques. Il échoue parce que personne n'a dit clairement pourquoi l'organisation s'y engage, jusqu'où, et qui décide. La phase de cadrage prend deux à quatre semaines et se conclut par une note de cadrage d'une ou deux pages, validée par le sponsor.</w:t>
      </w:r>
    </w:p>
    <w:p>
      <w:pPr>
        <w:pStyle w:val="Heading2"/>
        <w:keepNext/>
        <w:spacing w:after="140" w:before="320"/>
      </w:pPr>
      <w:r>
        <w:rPr>
          <w:rFonts w:ascii="Calibri" w:cs="Calibri" w:eastAsia="Calibri" w:hAnsi="Calibri"/>
        </w:rPr>
        <w:t xml:space="preserve">1.1 Formuler l'ambition en une phrase</w:t>
      </w:r>
    </w:p>
    <w:p>
      <w:pPr>
        <w:spacing w:after="140" w:before="0" w:line="276"/>
      </w:pPr>
      <w:r>
        <w:rPr>
          <w:rFonts w:ascii="Calibri" w:cs="Calibri" w:eastAsia="Calibri" w:hAnsi="Calibri"/>
        </w:rPr>
        <w:t xml:space="preserve">L'ambition n'est pas un slogan. C'est une phrase que le comité de direction pourra répéter et que les managers pourront relayer. Elle indique le bénéfice recherché, la population concernée et l'horizon. Trois formulations types, à adapter :</w:t>
      </w:r>
    </w:p>
    <w:p>
      <w:pPr>
        <w:pStyle w:val="ListParagraph"/>
        <w:numPr>
          <w:ilvl w:val="0"/>
          <w:numId w:val="2"/>
        </w:numPr>
        <w:spacing w:after="80" w:line="276"/>
      </w:pPr>
      <w:r>
        <w:rPr>
          <w:rFonts w:ascii="Calibri" w:cs="Calibri" w:eastAsia="Calibri" w:hAnsi="Calibri"/>
          <w:b/>
          <w:bCs/>
        </w:rPr>
        <w:t xml:space="preserve">Ambition productivité</w:t>
      </w:r>
      <w:r>
        <w:rPr>
          <w:rFonts w:ascii="Calibri" w:cs="Calibri" w:eastAsia="Calibri" w:hAnsi="Calibri"/>
        </w:rPr>
        <w:t xml:space="preserve"> : « D'ici douze mois, chaque collaborateur du siège dispose d'un assistant IA maîtrisé et gagne au moins deux heures par semaine sur ses tâches de rédaction, de synthèse et de recherche. »</w:t>
      </w:r>
    </w:p>
    <w:p>
      <w:pPr>
        <w:pStyle w:val="ListParagraph"/>
        <w:numPr>
          <w:ilvl w:val="0"/>
          <w:numId w:val="2"/>
        </w:numPr>
        <w:spacing w:after="80" w:line="276"/>
      </w:pPr>
      <w:r>
        <w:rPr>
          <w:rFonts w:ascii="Calibri" w:cs="Calibri" w:eastAsia="Calibri" w:hAnsi="Calibri"/>
          <w:b/>
          <w:bCs/>
        </w:rPr>
        <w:t xml:space="preserve">Ambition métier</w:t>
      </w:r>
      <w:r>
        <w:rPr>
          <w:rFonts w:ascii="Calibri" w:cs="Calibri" w:eastAsia="Calibri" w:hAnsi="Calibri"/>
        </w:rPr>
        <w:t xml:space="preserve"> : « D'ici douze mois, trois processus clés (réponse aux appels d'offres, traitement des réclamations, reporting réglementaire) intègrent l'IA générative de manière encadrée et mesurée. »</w:t>
      </w:r>
    </w:p>
    <w:p>
      <w:pPr>
        <w:pStyle w:val="ListParagraph"/>
        <w:numPr>
          <w:ilvl w:val="0"/>
          <w:numId w:val="2"/>
        </w:numPr>
        <w:spacing w:after="80" w:line="276"/>
      </w:pPr>
      <w:r>
        <w:rPr>
          <w:rFonts w:ascii="Calibri" w:cs="Calibri" w:eastAsia="Calibri" w:hAnsi="Calibri"/>
          <w:b/>
          <w:bCs/>
        </w:rPr>
        <w:t xml:space="preserve">Ambition culture</w:t>
      </w:r>
      <w:r>
        <w:rPr>
          <w:rFonts w:ascii="Calibri" w:cs="Calibri" w:eastAsia="Calibri" w:hAnsi="Calibri"/>
        </w:rPr>
        <w:t xml:space="preserve"> : « D'ici douze mois, l'organisation dispose d'un réseau d'ambassadeurs, d'une charte appliquée et d'une pratique courante de l'IA dans chaque direction, préalable au déploiement d'agents. »</w:t>
      </w:r>
    </w:p>
    <w:tbl>
      <w:tblPr>
        <w:tblW w:type="dxa" w:w="9638"/>
        <w:tblBorders>
          <w:top w:val="none" w:color="FFFFFF" w:sz="0"/>
          <w:left w:val="none" w:color="FFFFFF" w:sz="0"/>
          <w:bottom w:val="none" w:color="FFFFFF" w:sz="0"/>
          <w:right w:val="none" w:color="FFFFFF" w:sz="0"/>
          <w:insideH w:val="none" w:color="FFFFFF" w:sz="0"/>
          <w:insideV w:val="none" w:color="FFFFFF" w:sz="0"/>
        </w:tblBorders>
      </w:tblPr>
      <w:tblGrid>
        <w:gridCol w:w="9638"/>
      </w:tblGrid>
      <w:tr>
        <w:tc>
          <w:tcPr>
            <w:tcW w:type="dxa" w:w="9638"/>
            <w:tcBorders>
              <w:top w:val="none" w:color="FFFFFF" w:sz="0"/>
              <w:left w:val="single" w:color="1F5FBF" w:sz="24"/>
              <w:bottom w:val="none" w:color="FFFFFF" w:sz="0"/>
              <w:right w:val="none" w:color="FFFFFF" w:sz="0"/>
            </w:tcBorders>
            <w:shd w:fill="EAF1FB" w:color="auto" w:val="clear"/>
            <w:tcMar>
              <w:top w:type="dxa" w:w="140"/>
              <w:left w:type="dxa" w:w="200"/>
              <w:bottom w:type="dxa" w:w="100"/>
              <w:right w:type="dxa" w:w="200"/>
            </w:tcMar>
          </w:tcPr>
          <w:p>
            <w:pPr>
              <w:spacing w:after="80"/>
            </w:pPr>
            <w:r>
              <w:rPr>
                <w:rFonts w:ascii="Calibri" w:cs="Calibri" w:eastAsia="Calibri" w:hAnsi="Calibri"/>
                <w:b/>
                <w:bCs/>
                <w:color w:val="0F2D5E"/>
                <w:sz w:val="21"/>
                <w:szCs w:val="21"/>
              </w:rPr>
              <w:t xml:space="preserve">Zone de décision</w:t>
            </w:r>
          </w:p>
          <w:p>
            <w:pPr>
              <w:spacing w:after="60" w:line="264"/>
            </w:pPr>
            <w:r>
              <w:rPr>
                <w:rFonts w:ascii="Calibri" w:cs="Calibri" w:eastAsia="Calibri" w:hAnsi="Calibri"/>
                <w:sz w:val="20"/>
                <w:szCs w:val="20"/>
              </w:rPr>
              <w:t xml:space="preserve">Notre ambition en une phrase :</w:t>
            </w:r>
          </w:p>
          <w:p>
            <w:pPr>
              <w:spacing w:after="60" w:line="264"/>
            </w:pPr>
          </w:p>
          <w:p>
            <w:pPr>
              <w:spacing w:after="60" w:line="264"/>
            </w:pPr>
          </w:p>
          <w:p>
            <w:pPr>
              <w:spacing w:after="60" w:line="264"/>
            </w:pPr>
            <w:r>
              <w:rPr>
                <w:rFonts w:ascii="Calibri" w:cs="Calibri" w:eastAsia="Calibri" w:hAnsi="Calibri"/>
                <w:sz w:val="20"/>
                <w:szCs w:val="20"/>
              </w:rPr>
              <w:t xml:space="preserve">Validée par : ______________________   Date : ____ / ____ / ________</w:t>
            </w:r>
          </w:p>
        </w:tc>
      </w:tr>
    </w:tbl>
    <w:p>
      <w:pPr>
        <w:pStyle w:val="Heading2"/>
        <w:keepNext/>
        <w:spacing w:after="140" w:before="320"/>
      </w:pPr>
      <w:r>
        <w:rPr>
          <w:rFonts w:ascii="Calibri" w:cs="Calibri" w:eastAsia="Calibri" w:hAnsi="Calibri"/>
        </w:rPr>
        <w:t xml:space="preserve">1.2 Délimiter le périmètre</w:t>
      </w:r>
    </w:p>
    <w:p>
      <w:pPr>
        <w:spacing w:after="140" w:before="0" w:line="276"/>
      </w:pPr>
      <w:r>
        <w:rPr>
          <w:rFonts w:ascii="Calibri" w:cs="Calibri" w:eastAsia="Calibri" w:hAnsi="Calibri"/>
        </w:rPr>
        <w:t xml:space="preserve">Le périmètre répond à quatre questions : quelles populations, quels outils, quelles données, quelles exclusions. Les exclusions sont aussi importantes que les inclusions : dire dès le départ que les données clients nominatives ou les documents classifiés restent hors champ des outils grand public évite des mois de débats.</w:t>
      </w:r>
    </w:p>
    <w:tbl>
      <w:tblPr>
        <w:tblW w:type="dxa" w:w="9638"/>
        <w:tblBorders>
          <w:top w:val="single" w:color="C9D3E0" w:sz="4"/>
          <w:left w:val="single" w:color="C9D3E0" w:sz="4"/>
          <w:bottom w:val="single" w:color="C9D3E0" w:sz="4"/>
          <w:right w:val="single" w:color="C9D3E0" w:sz="4"/>
          <w:insideH w:val="single" w:color="C9D3E0" w:sz="4"/>
          <w:insideV w:val="single" w:color="C9D3E0" w:sz="4"/>
        </w:tblBorders>
      </w:tblPr>
      <w:tblGrid>
        <w:gridCol w:w="2699"/>
        <w:gridCol w:w="6939"/>
      </w:tblGrid>
      <w:tr>
        <w:trPr>
          <w:cantSplit/>
          <w:tblHeader/>
        </w:trPr>
        <w:tc>
          <w:tcPr>
            <w:tcW w:type="dxa" w:w="2699"/>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Dimension</w:t>
            </w:r>
          </w:p>
        </w:tc>
        <w:tc>
          <w:tcPr>
            <w:tcW w:type="dxa" w:w="6939"/>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Questions à trancher et exemple de réponse</w:t>
            </w:r>
          </w:p>
        </w:tc>
      </w:tr>
      <w:tr>
        <w:trPr>
          <w:cantSplit/>
          <w:tblHeader w:val="false"/>
        </w:trPr>
        <w:tc>
          <w:tcPr>
            <w:tcW w:type="dxa" w:w="2699"/>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Populations</w:t>
            </w:r>
          </w:p>
        </w:tc>
        <w:tc>
          <w:tcPr>
            <w:tcW w:type="dxa" w:w="6939"/>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Qui est concerné en année 1 ? Exemple : l'ensemble des fonctions support du siège (environ 800 personnes), puis deux directions métiers pilotes ; les équipes de production en année 2.</w:t>
            </w:r>
          </w:p>
        </w:tc>
      </w:tr>
      <w:tr>
        <w:trPr>
          <w:cantSplit/>
          <w:tblHeader w:val="false"/>
        </w:trPr>
        <w:tc>
          <w:tcPr>
            <w:tcW w:type="dxa" w:w="2699"/>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Outils</w:t>
            </w:r>
          </w:p>
        </w:tc>
        <w:tc>
          <w:tcPr>
            <w:tcW w:type="dxa" w:w="6939"/>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Quel outil de référence, quels outils tolérés, quels outils interdits ? Exemple : Copilot M365 comme outil de référence, Claude et ChatGPT en licence entreprise pour les équipes qui en ont besoin, comptes personnels interdits pour tout document interne.</w:t>
            </w:r>
          </w:p>
        </w:tc>
      </w:tr>
      <w:tr>
        <w:trPr>
          <w:cantSplit/>
          <w:tblHeader w:val="false"/>
        </w:trPr>
        <w:tc>
          <w:tcPr>
            <w:tcW w:type="dxa" w:w="2699"/>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Données</w:t>
            </w:r>
          </w:p>
        </w:tc>
        <w:tc>
          <w:tcPr>
            <w:tcW w:type="dxa" w:w="6939"/>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Quelles catégories de données peuvent être soumises à quel outil ? Exemple : données publiques et internes autorisées dans l'outil de référence ; données confidentielles uniquement dans les outils validés par la DSI ; données réglementées exclues.</w:t>
            </w:r>
          </w:p>
        </w:tc>
      </w:tr>
      <w:tr>
        <w:trPr>
          <w:cantSplit/>
          <w:tblHeader w:val="false"/>
        </w:trPr>
        <w:tc>
          <w:tcPr>
            <w:tcW w:type="dxa" w:w="2699"/>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Exclusions</w:t>
            </w:r>
          </w:p>
        </w:tc>
        <w:tc>
          <w:tcPr>
            <w:tcW w:type="dxa" w:w="6939"/>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Quels usages sont hors champ, même à terme ? Exemple : décisions RH individuelles automatisées, réponses juridiques transmises sans relecture, génération de contenus signés d'un dirigeant.</w:t>
            </w:r>
          </w:p>
        </w:tc>
      </w:tr>
    </w:tbl>
    <w:p>
      <w:pPr>
        <w:spacing w:after="120"/>
      </w:pPr>
    </w:p>
    <w:p>
      <w:pPr>
        <w:pStyle w:val="Heading2"/>
        <w:keepNext/>
        <w:spacing w:after="140" w:before="320"/>
      </w:pPr>
      <w:r>
        <w:rPr>
          <w:rFonts w:ascii="Calibri" w:cs="Calibri" w:eastAsia="Calibri" w:hAnsi="Calibri"/>
        </w:rPr>
        <w:t xml:space="preserve">1.3 Poser cinq principes</w:t>
      </w:r>
    </w:p>
    <w:p>
      <w:pPr>
        <w:spacing w:after="140" w:before="0" w:line="276"/>
      </w:pPr>
      <w:r>
        <w:rPr>
          <w:rFonts w:ascii="Calibri" w:cs="Calibri" w:eastAsia="Calibri" w:hAnsi="Calibri"/>
        </w:rPr>
        <w:t xml:space="preserve">Les principes fixent la manière de faire. Ils doivent tenir sur une page et être repris dans la charte IA de l'organisation. Cinq principes reviennent dans la plupart des déploiements réussis :</w:t>
      </w:r>
    </w:p>
    <w:p>
      <w:pPr>
        <w:pStyle w:val="ListParagraph"/>
        <w:numPr>
          <w:ilvl w:val="0"/>
          <w:numId w:val="3"/>
        </w:numPr>
        <w:spacing w:after="80" w:line="276"/>
      </w:pPr>
      <w:r>
        <w:rPr>
          <w:rFonts w:ascii="Calibri" w:cs="Calibri" w:eastAsia="Calibri" w:hAnsi="Calibri"/>
          <w:b/>
          <w:bCs/>
        </w:rPr>
        <w:t xml:space="preserve">L'humain décide.</w:t>
      </w:r>
      <w:r>
        <w:rPr>
          <w:rFonts w:ascii="Calibri" w:cs="Calibri" w:eastAsia="Calibri" w:hAnsi="Calibri"/>
        </w:rPr>
        <w:t xml:space="preserve"> L'IA propose, un collaborateur identifié valide et signe. Aucun livrable généré ne part sans relecture.</w:t>
      </w:r>
    </w:p>
    <w:p>
      <w:pPr>
        <w:pStyle w:val="ListParagraph"/>
        <w:numPr>
          <w:ilvl w:val="0"/>
          <w:numId w:val="3"/>
        </w:numPr>
        <w:spacing w:after="80" w:line="276"/>
      </w:pPr>
      <w:r>
        <w:rPr>
          <w:rFonts w:ascii="Calibri" w:cs="Calibri" w:eastAsia="Calibri" w:hAnsi="Calibri"/>
          <w:b/>
          <w:bCs/>
        </w:rPr>
        <w:t xml:space="preserve">Les données restent protégées.</w:t>
      </w:r>
      <w:r>
        <w:rPr>
          <w:rFonts w:ascii="Calibri" w:cs="Calibri" w:eastAsia="Calibri" w:hAnsi="Calibri"/>
        </w:rPr>
        <w:t xml:space="preserve"> Les règles de classification existantes s'appliquent aux outils d'IA comme à tout autre outil.</w:t>
      </w:r>
    </w:p>
    <w:p>
      <w:pPr>
        <w:pStyle w:val="ListParagraph"/>
        <w:numPr>
          <w:ilvl w:val="0"/>
          <w:numId w:val="3"/>
        </w:numPr>
        <w:spacing w:after="80" w:line="276"/>
      </w:pPr>
      <w:r>
        <w:rPr>
          <w:rFonts w:ascii="Calibri" w:cs="Calibri" w:eastAsia="Calibri" w:hAnsi="Calibri"/>
          <w:b/>
          <w:bCs/>
        </w:rPr>
        <w:t xml:space="preserve">Chacun est formé avant d'utiliser.</w:t>
      </w:r>
      <w:r>
        <w:rPr>
          <w:rFonts w:ascii="Calibri" w:cs="Calibri" w:eastAsia="Calibri" w:hAnsi="Calibri"/>
        </w:rPr>
        <w:t xml:space="preserve"> Un accès aux outils s'accompagne d'une formation adaptée au poste, documentée.</w:t>
      </w:r>
    </w:p>
    <w:p>
      <w:pPr>
        <w:pStyle w:val="ListParagraph"/>
        <w:numPr>
          <w:ilvl w:val="0"/>
          <w:numId w:val="3"/>
        </w:numPr>
        <w:spacing w:after="80" w:line="276"/>
      </w:pPr>
      <w:r>
        <w:rPr>
          <w:rFonts w:ascii="Calibri" w:cs="Calibri" w:eastAsia="Calibri" w:hAnsi="Calibri"/>
          <w:b/>
          <w:bCs/>
        </w:rPr>
        <w:t xml:space="preserve">On mesure ce qu'on déploie.</w:t>
      </w:r>
      <w:r>
        <w:rPr>
          <w:rFonts w:ascii="Calibri" w:cs="Calibri" w:eastAsia="Calibri" w:hAnsi="Calibri"/>
        </w:rPr>
        <w:t xml:space="preserve"> Tout cas d'usage généralisé dispose d'au moins un indicateur d'usage et un indicateur de valeur.</w:t>
      </w:r>
    </w:p>
    <w:p>
      <w:pPr>
        <w:pStyle w:val="ListParagraph"/>
        <w:numPr>
          <w:ilvl w:val="0"/>
          <w:numId w:val="3"/>
        </w:numPr>
        <w:spacing w:after="80" w:line="276"/>
      </w:pPr>
      <w:r>
        <w:rPr>
          <w:rFonts w:ascii="Calibri" w:cs="Calibri" w:eastAsia="Calibri" w:hAnsi="Calibri"/>
          <w:b/>
          <w:bCs/>
        </w:rPr>
        <w:t xml:space="preserve">On partage ce qui marche.</w:t>
      </w:r>
      <w:r>
        <w:rPr>
          <w:rFonts w:ascii="Calibri" w:cs="Calibri" w:eastAsia="Calibri" w:hAnsi="Calibri"/>
        </w:rPr>
        <w:t xml:space="preserve"> Les prompts, les assistants et les retours d'expérience sont mis en commun plutôt que gardés dans les équipes.</w:t>
      </w:r>
    </w:p>
    <w:p>
      <w:pPr>
        <w:pStyle w:val="Heading2"/>
        <w:keepNext/>
        <w:spacing w:after="140" w:before="320"/>
      </w:pPr>
      <w:r>
        <w:rPr>
          <w:rFonts w:ascii="Calibri" w:cs="Calibri" w:eastAsia="Calibri" w:hAnsi="Calibri"/>
        </w:rPr>
        <w:t xml:space="preserve">1.4 Installer une gouvernance minimale</w:t>
      </w:r>
    </w:p>
    <w:p>
      <w:pPr>
        <w:spacing w:after="140" w:before="0" w:line="276"/>
      </w:pPr>
      <w:r>
        <w:rPr>
          <w:rFonts w:ascii="Calibri" w:cs="Calibri" w:eastAsia="Calibri" w:hAnsi="Calibri"/>
        </w:rPr>
        <w:t xml:space="preserve">La gouvernance de l'année 1 doit être légère : trois rôles et deux rituels suffisent. Le piège classique consiste à créer un comité de quinze personnes qui se réunit tous les deux mois et ne décide rien.</w:t>
      </w:r>
    </w:p>
    <w:tbl>
      <w:tblPr>
        <w:tblW w:type="dxa" w:w="9638"/>
        <w:tblBorders>
          <w:top w:val="single" w:color="C9D3E0" w:sz="4"/>
          <w:left w:val="single" w:color="C9D3E0" w:sz="4"/>
          <w:bottom w:val="single" w:color="C9D3E0" w:sz="4"/>
          <w:right w:val="single" w:color="C9D3E0" w:sz="4"/>
          <w:insideH w:val="single" w:color="C9D3E0" w:sz="4"/>
          <w:insideV w:val="single" w:color="C9D3E0" w:sz="4"/>
        </w:tblBorders>
      </w:tblPr>
      <w:tblGrid>
        <w:gridCol w:w="2313"/>
        <w:gridCol w:w="3855"/>
        <w:gridCol w:w="3470"/>
      </w:tblGrid>
      <w:tr>
        <w:trPr>
          <w:cantSplit/>
          <w:tblHeader/>
        </w:trPr>
        <w:tc>
          <w:tcPr>
            <w:tcW w:type="dxa" w:w="2313"/>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Rôle</w:t>
            </w:r>
          </w:p>
        </w:tc>
        <w:tc>
          <w:tcPr>
            <w:tcW w:type="dxa" w:w="3855"/>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Responsabilités</w:t>
            </w:r>
          </w:p>
        </w:tc>
        <w:tc>
          <w:tcPr>
            <w:tcW w:type="dxa" w:w="3470"/>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Profil habituel</w:t>
            </w:r>
          </w:p>
        </w:tc>
      </w:tr>
      <w:tr>
        <w:trPr>
          <w:cantSplit/>
          <w:tblHeader w:val="false"/>
        </w:trPr>
        <w:tc>
          <w:tcPr>
            <w:tcW w:type="dxa" w:w="2313"/>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Sponsor</w:t>
            </w:r>
          </w:p>
        </w:tc>
        <w:tc>
          <w:tcPr>
            <w:tcW w:type="dxa" w:w="3855"/>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Porte l'ambition au comité de direction, arbitre les priorités et les moyens, incarne la démarche en interne.</w:t>
            </w:r>
          </w:p>
        </w:tc>
        <w:tc>
          <w:tcPr>
            <w:tcW w:type="dxa" w:w="3470"/>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Membre du COMEX : DG adjoint, DRH, directeur de la transformation ou secrétaire général.</w:t>
            </w:r>
          </w:p>
        </w:tc>
      </w:tr>
      <w:tr>
        <w:trPr>
          <w:cantSplit/>
          <w:tblHeader w:val="false"/>
        </w:trPr>
        <w:tc>
          <w:tcPr>
            <w:tcW w:type="dxa" w:w="2313"/>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Référent IA (chef de projet)</w:t>
            </w:r>
          </w:p>
        </w:tc>
        <w:tc>
          <w:tcPr>
            <w:tcW w:type="dxa" w:w="3855"/>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Anime la feuille de route au quotidien, tient le backlog des cas d'usage, prépare les comités, suit les indicateurs.</w:t>
            </w:r>
          </w:p>
        </w:tc>
        <w:tc>
          <w:tcPr>
            <w:tcW w:type="dxa" w:w="3470"/>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Chef de projet transformation, responsable innovation ou responsable formation, à 30 à 50 % de son temps en année 1.</w:t>
            </w:r>
          </w:p>
        </w:tc>
      </w:tr>
      <w:tr>
        <w:trPr>
          <w:cantSplit/>
          <w:tblHeader w:val="false"/>
        </w:trPr>
        <w:tc>
          <w:tcPr>
            <w:tcW w:type="dxa" w:w="2313"/>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Cercle des experts</w:t>
            </w:r>
          </w:p>
        </w:tc>
        <w:tc>
          <w:tcPr>
            <w:tcW w:type="dxa" w:w="3855"/>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Apportent leur avis sur leur périmètre : sécurité, données personnelles, juridique, dialogue social, achats.</w:t>
            </w:r>
          </w:p>
        </w:tc>
        <w:tc>
          <w:tcPr>
            <w:tcW w:type="dxa" w:w="3470"/>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RSSI, DPO, juriste, représentant RH, acheteur IT : sollicités par le référent, pas membres permanents d'un comité.</w:t>
            </w:r>
          </w:p>
        </w:tc>
      </w:tr>
      <w:tr>
        <w:trPr>
          <w:cantSplit/>
          <w:tblHeader w:val="false"/>
        </w:trPr>
        <w:tc>
          <w:tcPr>
            <w:tcW w:type="dxa" w:w="2313"/>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Ambassadeurs</w:t>
            </w:r>
          </w:p>
        </w:tc>
        <w:tc>
          <w:tcPr>
            <w:tcW w:type="dxa" w:w="3855"/>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Relais dans les équipes : premiers utilisateurs, remontée des cas d'usage, entraide de proximité.</w:t>
            </w:r>
          </w:p>
        </w:tc>
        <w:tc>
          <w:tcPr>
            <w:tcW w:type="dxa" w:w="3470"/>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Un ambassadeur pour 30 à 50 collaborateurs, volontaires, formés au trimestre 1 (voir notre Kit Ambassadeurs IA).</w:t>
            </w:r>
          </w:p>
        </w:tc>
      </w:tr>
    </w:tbl>
    <w:p>
      <w:pPr>
        <w:spacing w:after="120"/>
      </w:pPr>
    </w:p>
    <w:p>
      <w:pPr>
        <w:spacing w:after="140" w:before="0" w:line="276"/>
      </w:pPr>
      <w:r>
        <w:rPr>
          <w:rFonts w:ascii="Calibri" w:cs="Calibri" w:eastAsia="Calibri" w:hAnsi="Calibri"/>
          <w:b/>
          <w:bCs/>
        </w:rPr>
        <w:t xml:space="preserve">Deux rituels</w:t>
      </w:r>
      <w:r>
        <w:rPr>
          <w:rFonts w:ascii="Calibri" w:cs="Calibri" w:eastAsia="Calibri" w:hAnsi="Calibri"/>
        </w:rPr>
        <w:t xml:space="preserve"> : un comité IA mensuel d'une heure (sponsor, référent, deux ou trois managers des directions concernées, un ambassadeur invité tournant) qui arbitre le backlog et suit les indicateurs ; une revue trimestrielle de trente minutes en comité de direction, qui valide le passage au trimestre suivant. L'annexe D fournit l'ordre du jour type du comité mensuel.</w:t>
      </w:r>
    </w:p>
    <w:p>
      <w:pPr>
        <w:pStyle w:val="Heading2"/>
        <w:keepNext/>
        <w:spacing w:after="140" w:before="320"/>
      </w:pPr>
      <w:r>
        <w:rPr>
          <w:rFonts w:ascii="Calibri" w:cs="Calibri" w:eastAsia="Calibri" w:hAnsi="Calibri"/>
        </w:rPr>
        <w:t xml:space="preserve">1.5 Établir un diagnostic express</w:t>
      </w:r>
    </w:p>
    <w:p>
      <w:pPr>
        <w:spacing w:after="140" w:before="0" w:line="276"/>
      </w:pPr>
      <w:r>
        <w:rPr>
          <w:rFonts w:ascii="Calibri" w:cs="Calibri" w:eastAsia="Calibri" w:hAnsi="Calibri"/>
        </w:rPr>
        <w:t xml:space="preserve">Avant de planifier, il faut savoir d'où l'on part. Le diagnostic express se fait en une à deux semaines : un questionnaire de dix questions envoyé à un échantillon de collaborateurs (ou à tous), complété par cinq à huit entretiens de trente minutes avec des responsables de direction. L'annexe G propose une grille d'auto-évaluation plus complète pour le référent.</w:t>
      </w:r>
    </w:p>
    <w:tbl>
      <w:tblPr>
        <w:tblW w:type="dxa" w:w="9638"/>
        <w:tblBorders>
          <w:top w:val="single" w:color="C9D3E0" w:sz="4"/>
          <w:left w:val="single" w:color="C9D3E0" w:sz="4"/>
          <w:bottom w:val="single" w:color="C9D3E0" w:sz="4"/>
          <w:right w:val="single" w:color="C9D3E0" w:sz="4"/>
          <w:insideH w:val="single" w:color="C9D3E0" w:sz="4"/>
          <w:insideV w:val="single" w:color="C9D3E0" w:sz="4"/>
        </w:tblBorders>
      </w:tblPr>
      <w:tblGrid>
        <w:gridCol w:w="578"/>
        <w:gridCol w:w="5783"/>
        <w:gridCol w:w="3277"/>
      </w:tblGrid>
      <w:tr>
        <w:trPr>
          <w:cantSplit/>
          <w:tblHeader/>
        </w:trPr>
        <w:tc>
          <w:tcPr>
            <w:tcW w:type="dxa" w:w="578"/>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w:t>
            </w:r>
          </w:p>
        </w:tc>
        <w:tc>
          <w:tcPr>
            <w:tcW w:type="dxa" w:w="5783"/>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Question au collaborateur</w:t>
            </w:r>
          </w:p>
        </w:tc>
        <w:tc>
          <w:tcPr>
            <w:tcW w:type="dxa" w:w="3277"/>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Ce qu'on cherche à savoir</w:t>
            </w:r>
          </w:p>
        </w:tc>
      </w:tr>
      <w:tr>
        <w:trPr>
          <w:cantSplit/>
          <w:tblHeader w:val="false"/>
        </w:trPr>
        <w:tc>
          <w:tcPr>
            <w:tcW w:type="dxa" w:w="578"/>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1</w:t>
            </w:r>
          </w:p>
        </w:tc>
        <w:tc>
          <w:tcPr>
            <w:tcW w:type="dxa" w:w="5783"/>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Utilisez-vous un outil d'IA générative dans votre travail ? Lequel, à quelle fréquence ?</w:t>
            </w:r>
          </w:p>
        </w:tc>
        <w:tc>
          <w:tcPr>
            <w:tcW w:type="dxa" w:w="3277"/>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Taux et intensité d'usage réels, outils utilisés (y compris non autorisés).</w:t>
            </w:r>
          </w:p>
        </w:tc>
      </w:tr>
      <w:tr>
        <w:trPr>
          <w:cantSplit/>
          <w:tblHeader w:val="false"/>
        </w:trPr>
        <w:tc>
          <w:tcPr>
            <w:tcW w:type="dxa" w:w="578"/>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2</w:t>
            </w:r>
          </w:p>
        </w:tc>
        <w:tc>
          <w:tcPr>
            <w:tcW w:type="dxa" w:w="5783"/>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Avec quel type de compte : entreprise, personnel gratuit, personnel payant ?</w:t>
            </w:r>
          </w:p>
        </w:tc>
        <w:tc>
          <w:tcPr>
            <w:tcW w:type="dxa" w:w="3277"/>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Exposition des données, usage « fantôme ».</w:t>
            </w:r>
          </w:p>
        </w:tc>
      </w:tr>
      <w:tr>
        <w:trPr>
          <w:cantSplit/>
          <w:tblHeader w:val="false"/>
        </w:trPr>
        <w:tc>
          <w:tcPr>
            <w:tcW w:type="dxa" w:w="578"/>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3</w:t>
            </w:r>
          </w:p>
        </w:tc>
        <w:tc>
          <w:tcPr>
            <w:tcW w:type="dxa" w:w="5783"/>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Pour quelles tâches principalement ?</w:t>
            </w:r>
          </w:p>
        </w:tc>
        <w:tc>
          <w:tcPr>
            <w:tcW w:type="dxa" w:w="3277"/>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Cas d'usage spontanés à capitaliser.</w:t>
            </w:r>
          </w:p>
        </w:tc>
      </w:tr>
      <w:tr>
        <w:trPr>
          <w:cantSplit/>
          <w:tblHeader w:val="false"/>
        </w:trPr>
        <w:tc>
          <w:tcPr>
            <w:tcW w:type="dxa" w:w="578"/>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4</w:t>
            </w:r>
          </w:p>
        </w:tc>
        <w:tc>
          <w:tcPr>
            <w:tcW w:type="dxa" w:w="5783"/>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Avez-vous été formé ? Par qui ?</w:t>
            </w:r>
          </w:p>
        </w:tc>
        <w:tc>
          <w:tcPr>
            <w:tcW w:type="dxa" w:w="3277"/>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Niveau de maîtrise et respect de l'article 4 de l'AI Act.</w:t>
            </w:r>
          </w:p>
        </w:tc>
      </w:tr>
      <w:tr>
        <w:trPr>
          <w:cantSplit/>
          <w:tblHeader w:val="false"/>
        </w:trPr>
        <w:tc>
          <w:tcPr>
            <w:tcW w:type="dxa" w:w="578"/>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5</w:t>
            </w:r>
          </w:p>
        </w:tc>
        <w:tc>
          <w:tcPr>
            <w:tcW w:type="dxa" w:w="5783"/>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Connaissez-vous les règles de l'organisation sur l'usage de l'IA ?</w:t>
            </w:r>
          </w:p>
        </w:tc>
        <w:tc>
          <w:tcPr>
            <w:tcW w:type="dxa" w:w="3277"/>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Notoriété de la charte, si elle existe.</w:t>
            </w:r>
          </w:p>
        </w:tc>
      </w:tr>
      <w:tr>
        <w:trPr>
          <w:cantSplit/>
          <w:tblHeader w:val="false"/>
        </w:trPr>
        <w:tc>
          <w:tcPr>
            <w:tcW w:type="dxa" w:w="578"/>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6</w:t>
            </w:r>
          </w:p>
        </w:tc>
        <w:tc>
          <w:tcPr>
            <w:tcW w:type="dxa" w:w="5783"/>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Quelles tâches répétitives aimeriez-vous déléguer à l'IA ?</w:t>
            </w:r>
          </w:p>
        </w:tc>
        <w:tc>
          <w:tcPr>
            <w:tcW w:type="dxa" w:w="3277"/>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Vivier de cas d'usage pour la priorisation.</w:t>
            </w:r>
          </w:p>
        </w:tc>
      </w:tr>
      <w:tr>
        <w:trPr>
          <w:cantSplit/>
          <w:tblHeader w:val="false"/>
        </w:trPr>
        <w:tc>
          <w:tcPr>
            <w:tcW w:type="dxa" w:w="578"/>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7</w:t>
            </w:r>
          </w:p>
        </w:tc>
        <w:tc>
          <w:tcPr>
            <w:tcW w:type="dxa" w:w="5783"/>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Qu'est-ce qui vous freine aujourd'hui ?</w:t>
            </w:r>
          </w:p>
        </w:tc>
        <w:tc>
          <w:tcPr>
            <w:tcW w:type="dxa" w:w="3277"/>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Freins : accès, temps, confiance, compétence, crainte.</w:t>
            </w:r>
          </w:p>
        </w:tc>
      </w:tr>
      <w:tr>
        <w:trPr>
          <w:cantSplit/>
          <w:tblHeader w:val="false"/>
        </w:trPr>
        <w:tc>
          <w:tcPr>
            <w:tcW w:type="dxa" w:w="578"/>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8</w:t>
            </w:r>
          </w:p>
        </w:tc>
        <w:tc>
          <w:tcPr>
            <w:tcW w:type="dxa" w:w="5783"/>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Estimez le temps gagné (ou perdu) par semaine grâce à l'IA.</w:t>
            </w:r>
          </w:p>
        </w:tc>
        <w:tc>
          <w:tcPr>
            <w:tcW w:type="dxa" w:w="3277"/>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Point de départ des indicateurs de valeur.</w:t>
            </w:r>
          </w:p>
        </w:tc>
      </w:tr>
      <w:tr>
        <w:trPr>
          <w:cantSplit/>
          <w:tblHeader w:val="false"/>
        </w:trPr>
        <w:tc>
          <w:tcPr>
            <w:tcW w:type="dxa" w:w="578"/>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9</w:t>
            </w:r>
          </w:p>
        </w:tc>
        <w:tc>
          <w:tcPr>
            <w:tcW w:type="dxa" w:w="5783"/>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Seriez-vous volontaire pour devenir ambassadeur IA de votre équipe ?</w:t>
            </w:r>
          </w:p>
        </w:tc>
        <w:tc>
          <w:tcPr>
            <w:tcW w:type="dxa" w:w="3277"/>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Vivier d'ambassadeurs.</w:t>
            </w:r>
          </w:p>
        </w:tc>
      </w:tr>
      <w:tr>
        <w:trPr>
          <w:cantSplit/>
          <w:tblHeader w:val="false"/>
        </w:trPr>
        <w:tc>
          <w:tcPr>
            <w:tcW w:type="dxa" w:w="578"/>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10</w:t>
            </w:r>
          </w:p>
        </w:tc>
        <w:tc>
          <w:tcPr>
            <w:tcW w:type="dxa" w:w="5783"/>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Sur une échelle de 1 à 5, votre confiance dans la capacité de l'organisation à bien déployer l'IA ?</w:t>
            </w:r>
          </w:p>
        </w:tc>
        <w:tc>
          <w:tcPr>
            <w:tcW w:type="dxa" w:w="3277"/>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Baromètre de départ, à remesurer à 6 et 12 mois.</w:t>
            </w:r>
          </w:p>
        </w:tc>
      </w:tr>
    </w:tbl>
    <w:p>
      <w:pPr>
        <w:spacing w:after="120"/>
      </w:pPr>
    </w:p>
    <w:tbl>
      <w:tblPr>
        <w:tblW w:type="dxa" w:w="9638"/>
        <w:tblBorders>
          <w:top w:val="none" w:color="FFFFFF" w:sz="0"/>
          <w:left w:val="none" w:color="FFFFFF" w:sz="0"/>
          <w:bottom w:val="none" w:color="FFFFFF" w:sz="0"/>
          <w:right w:val="none" w:color="FFFFFF" w:sz="0"/>
          <w:insideH w:val="none" w:color="FFFFFF" w:sz="0"/>
          <w:insideV w:val="none" w:color="FFFFFF" w:sz="0"/>
        </w:tblBorders>
      </w:tblPr>
      <w:tblGrid>
        <w:gridCol w:w="9638"/>
      </w:tblGrid>
      <w:tr>
        <w:tc>
          <w:tcPr>
            <w:tcW w:type="dxa" w:w="9638"/>
            <w:tcBorders>
              <w:top w:val="none" w:color="FFFFFF" w:sz="0"/>
              <w:left w:val="single" w:color="1F5FBF" w:sz="24"/>
              <w:bottom w:val="none" w:color="FFFFFF" w:sz="0"/>
              <w:right w:val="none" w:color="FFFFFF" w:sz="0"/>
            </w:tcBorders>
            <w:shd w:fill="EAF1FB" w:color="auto" w:val="clear"/>
            <w:tcMar>
              <w:top w:type="dxa" w:w="140"/>
              <w:left w:type="dxa" w:w="200"/>
              <w:bottom w:type="dxa" w:w="100"/>
              <w:right w:type="dxa" w:w="200"/>
            </w:tcMar>
          </w:tcPr>
          <w:p>
            <w:pPr>
              <w:spacing w:after="80"/>
            </w:pPr>
            <w:r>
              <w:rPr>
                <w:rFonts w:ascii="Calibri" w:cs="Calibri" w:eastAsia="Calibri" w:hAnsi="Calibri"/>
                <w:b/>
                <w:bCs/>
                <w:color w:val="0F2D5E"/>
                <w:sz w:val="21"/>
                <w:szCs w:val="21"/>
              </w:rPr>
              <w:t xml:space="preserve">Repère : ce qu'on observe en général au diagnostic</w:t>
            </w:r>
          </w:p>
          <w:p>
            <w:pPr>
              <w:spacing w:after="60" w:line="264"/>
            </w:pPr>
            <w:r>
              <w:rPr>
                <w:rFonts w:ascii="Calibri" w:cs="Calibri" w:eastAsia="Calibri" w:hAnsi="Calibri"/>
                <w:sz w:val="20"/>
                <w:szCs w:val="20"/>
              </w:rPr>
              <w:t xml:space="preserve">Dans la plupart des grandes organisations que nous rencontrons, une part importante des collaborateurs utilise déjà un outil d'IA générative, souvent via un compte personnel, et une minorité seulement a été formée. Le diagnostic sert moins à découvrir cet écart qu'à le chiffrer pour votre organisation, ce qui en fait l'argument le plus efficace pour obtenir le mandat et les moyens de l'année 1.</w:t>
            </w:r>
          </w:p>
        </w:tc>
      </w:tr>
    </w:tbl>
    <w:p>
      <w:pPr>
        <w:pStyle w:val="Heading1"/>
        <w:pageBreakBefore/>
        <w:spacing w:after="240" w:before="0"/>
      </w:pPr>
      <w:r>
        <w:rPr>
          <w:rFonts w:ascii="Calibri" w:cs="Calibri" w:eastAsia="Calibri" w:hAnsi="Calibri"/>
        </w:rPr>
        <w:t xml:space="preserve">2. Prioriser : choisir les premiers cas d'usage</w:t>
      </w:r>
    </w:p>
    <w:p>
      <w:pPr>
        <w:spacing w:after="140" w:before="0" w:line="276"/>
      </w:pPr>
      <w:r>
        <w:rPr>
          <w:rFonts w:ascii="Calibri" w:cs="Calibri" w:eastAsia="Calibri" w:hAnsi="Calibri"/>
        </w:rPr>
        <w:t xml:space="preserve">Une organisation qui démarre reçoit vite des dizaines d'idées de cas d'usage. Les traiter toutes, c'est n'en réussir aucune. La méthode proposée tient en trois temps : inventorier largement, classer selon deux critères simples, choisir peu.</w:t>
      </w:r>
    </w:p>
    <w:p>
      <w:pPr>
        <w:pStyle w:val="Heading2"/>
        <w:keepNext/>
        <w:spacing w:after="140" w:before="320"/>
      </w:pPr>
      <w:r>
        <w:rPr>
          <w:rFonts w:ascii="Calibri" w:cs="Calibri" w:eastAsia="Calibri" w:hAnsi="Calibri"/>
        </w:rPr>
        <w:t xml:space="preserve">2.1 Inventorier en distinguant quatre niveaux</w:t>
      </w:r>
    </w:p>
    <w:p>
      <w:pPr>
        <w:spacing w:after="140" w:before="0" w:line="276"/>
      </w:pPr>
      <w:r>
        <w:rPr>
          <w:rFonts w:ascii="Calibri" w:cs="Calibri" w:eastAsia="Calibri" w:hAnsi="Calibri"/>
        </w:rPr>
        <w:t xml:space="preserve">Tous les cas d'usage ne se ressemblent pas. Les classer par niveau évite de comparer un prompt de rédaction avec un agent connecté au système d'information, qui n'exigent ni les mêmes compétences ni les mêmes validations.</w:t>
      </w:r>
    </w:p>
    <w:tbl>
      <w:tblPr>
        <w:tblW w:type="dxa" w:w="9638"/>
        <w:tblBorders>
          <w:top w:val="single" w:color="C9D3E0" w:sz="4"/>
          <w:left w:val="single" w:color="C9D3E0" w:sz="4"/>
          <w:bottom w:val="single" w:color="C9D3E0" w:sz="4"/>
          <w:right w:val="single" w:color="C9D3E0" w:sz="4"/>
          <w:insideH w:val="single" w:color="C9D3E0" w:sz="4"/>
          <w:insideV w:val="single" w:color="C9D3E0" w:sz="4"/>
        </w:tblBorders>
      </w:tblPr>
      <w:tblGrid>
        <w:gridCol w:w="2120"/>
        <w:gridCol w:w="4241"/>
        <w:gridCol w:w="3277"/>
      </w:tblGrid>
      <w:tr>
        <w:trPr>
          <w:cantSplit/>
          <w:tblHeader/>
        </w:trPr>
        <w:tc>
          <w:tcPr>
            <w:tcW w:type="dxa" w:w="2120"/>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Niveau</w:t>
            </w:r>
          </w:p>
        </w:tc>
        <w:tc>
          <w:tcPr>
            <w:tcW w:type="dxa" w:w="4241"/>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Description</w:t>
            </w:r>
          </w:p>
        </w:tc>
        <w:tc>
          <w:tcPr>
            <w:tcW w:type="dxa" w:w="3277"/>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Exemples</w:t>
            </w:r>
          </w:p>
        </w:tc>
      </w:tr>
      <w:tr>
        <w:trPr>
          <w:cantSplit/>
          <w:tblHeader w:val="false"/>
        </w:trPr>
        <w:tc>
          <w:tcPr>
            <w:tcW w:type="dxa" w:w="2120"/>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1. Prompt expert</w:t>
            </w:r>
          </w:p>
        </w:tc>
        <w:tc>
          <w:tcPr>
            <w:tcW w:type="dxa" w:w="4241"/>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Une consigne réutilisable, copiée dans l'outil, qui produit un résultat de qualité constante.</w:t>
            </w:r>
          </w:p>
        </w:tc>
        <w:tc>
          <w:tcPr>
            <w:tcW w:type="dxa" w:w="3277"/>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Compte rendu de réunion structuré, reformulation d'un email difficile, synthèse d'un rapport de 40 pages.</w:t>
            </w:r>
          </w:p>
        </w:tc>
      </w:tr>
      <w:tr>
        <w:trPr>
          <w:cantSplit/>
          <w:tblHeader w:val="false"/>
        </w:trPr>
        <w:tc>
          <w:tcPr>
            <w:tcW w:type="dxa" w:w="2120"/>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2. Assistant configuré</w:t>
            </w:r>
          </w:p>
        </w:tc>
        <w:tc>
          <w:tcPr>
            <w:tcW w:type="dxa" w:w="4241"/>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Un assistant personnalisé (Agent Builder, GPT, Projet) avec ses instructions et ses documents de référence, partagé dans l'équipe.</w:t>
            </w:r>
          </w:p>
        </w:tc>
        <w:tc>
          <w:tcPr>
            <w:tcW w:type="dxa" w:w="3277"/>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Assistant « réponse aux questions RH fréquentes », assistant « relecture selon la charte éditoriale ».</w:t>
            </w:r>
          </w:p>
        </w:tc>
      </w:tr>
      <w:tr>
        <w:trPr>
          <w:cantSplit/>
          <w:tblHeader w:val="false"/>
        </w:trPr>
        <w:tc>
          <w:tcPr>
            <w:tcW w:type="dxa" w:w="2120"/>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3. Agent connecté</w:t>
            </w:r>
          </w:p>
        </w:tc>
        <w:tc>
          <w:tcPr>
            <w:tcW w:type="dxa" w:w="4241"/>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Un agent qui accède à des sources vivantes (SharePoint, CRM, bases internes) et exécute une chaîne d'actions, sur déclenchement ou planifié.</w:t>
            </w:r>
          </w:p>
        </w:tc>
        <w:tc>
          <w:tcPr>
            <w:tcW w:type="dxa" w:w="3277"/>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Veille concurrentielle hebdomadaire, qualification des demandes entrantes, vigie de conformité.</w:t>
            </w:r>
          </w:p>
        </w:tc>
      </w:tr>
      <w:tr>
        <w:trPr>
          <w:cantSplit/>
          <w:tblHeader w:val="false"/>
        </w:trPr>
        <w:tc>
          <w:tcPr>
            <w:tcW w:type="dxa" w:w="2120"/>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4. Cowork (dossier délégué)</w:t>
            </w:r>
          </w:p>
        </w:tc>
        <w:tc>
          <w:tcPr>
            <w:tcW w:type="dxa" w:w="4241"/>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Un dossier entier confié à l'IA qui travaille sur les fichiers, avec relecture humaine des livrables.</w:t>
            </w:r>
          </w:p>
        </w:tc>
        <w:tc>
          <w:tcPr>
            <w:tcW w:type="dxa" w:w="3277"/>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Préparation d'un dossier d'appel d'offres, consolidation d'un reporting mensuel, reprise d'un dossier hérité.</w:t>
            </w:r>
          </w:p>
        </w:tc>
      </w:tr>
    </w:tbl>
    <w:p>
      <w:pPr>
        <w:spacing w:after="120"/>
      </w:pPr>
    </w:p>
    <w:p>
      <w:pPr>
        <w:spacing w:after="140" w:before="0" w:line="276"/>
      </w:pPr>
      <w:r>
        <w:rPr>
          <w:rFonts w:ascii="Calibri" w:cs="Calibri" w:eastAsia="Calibri" w:hAnsi="Calibri"/>
        </w:rPr>
        <w:t xml:space="preserve">En année 1, la majorité des cas d'usage généralisés relèvent des niveaux 1 et 2. Les niveaux 3 et 4 arrivent au second semestre, une fois les compétences, la charte et les licences en place. C'est une progression, pas une hiérarchie de valeur : un prompt bien diffusé à 500 personnes vaut souvent plus qu'un agent utilisé par trois.</w:t>
      </w:r>
    </w:p>
    <w:p>
      <w:pPr>
        <w:pStyle w:val="Heading2"/>
        <w:keepNext/>
        <w:spacing w:after="140" w:before="320"/>
      </w:pPr>
      <w:r>
        <w:rPr>
          <w:rFonts w:ascii="Calibri" w:cs="Calibri" w:eastAsia="Calibri" w:hAnsi="Calibri"/>
        </w:rPr>
        <w:t xml:space="preserve">2.2 Classer par valeur et par facilité</w:t>
      </w:r>
    </w:p>
    <w:p>
      <w:pPr>
        <w:spacing w:after="140" w:before="0" w:line="276"/>
      </w:pPr>
      <w:r>
        <w:rPr>
          <w:rFonts w:ascii="Calibri" w:cs="Calibri" w:eastAsia="Calibri" w:hAnsi="Calibri"/>
        </w:rPr>
        <w:t xml:space="preserve">Chaque cas d'usage inventorié reçoit deux notes de 1 à 5. La </w:t>
      </w:r>
      <w:r>
        <w:rPr>
          <w:rFonts w:ascii="Calibri" w:cs="Calibri" w:eastAsia="Calibri" w:hAnsi="Calibri"/>
          <w:b/>
          <w:bCs/>
        </w:rPr>
        <w:t xml:space="preserve">valeur</w:t>
      </w:r>
      <w:r>
        <w:rPr>
          <w:rFonts w:ascii="Calibri" w:cs="Calibri" w:eastAsia="Calibri" w:hAnsi="Calibri"/>
        </w:rPr>
        <w:t xml:space="preserve"> combine le temps gagné, le nombre de personnes concernées et l'impact sur la qualité ou le risque. La </w:t>
      </w:r>
      <w:r>
        <w:rPr>
          <w:rFonts w:ascii="Calibri" w:cs="Calibri" w:eastAsia="Calibri" w:hAnsi="Calibri"/>
          <w:b/>
          <w:bCs/>
        </w:rPr>
        <w:t xml:space="preserve">facilité</w:t>
      </w:r>
      <w:r>
        <w:rPr>
          <w:rFonts w:ascii="Calibri" w:cs="Calibri" w:eastAsia="Calibri" w:hAnsi="Calibri"/>
        </w:rPr>
        <w:t xml:space="preserve"> combine la disponibilité des données, la simplicité technique, l'absence de blocage juridique ou social et l'existence d'un porteur motivé.</w:t>
      </w:r>
    </w:p>
    <w:tbl>
      <w:tblPr>
        <w:tblW w:type="dxa" w:w="9638"/>
        <w:tblBorders>
          <w:top w:val="single" w:color="C9D3E0" w:sz="4"/>
          <w:left w:val="single" w:color="C9D3E0" w:sz="4"/>
          <w:bottom w:val="single" w:color="C9D3E0" w:sz="4"/>
          <w:right w:val="single" w:color="C9D3E0" w:sz="4"/>
          <w:insideH w:val="single" w:color="C9D3E0" w:sz="4"/>
          <w:insideV w:val="single" w:color="C9D3E0" w:sz="4"/>
        </w:tblBorders>
      </w:tblPr>
      <w:tblGrid>
        <w:gridCol w:w="2891"/>
        <w:gridCol w:w="3373"/>
        <w:gridCol w:w="3373"/>
      </w:tblGrid>
      <w:tr>
        <w:trPr>
          <w:cantSplit/>
          <w:tblHeader/>
        </w:trPr>
        <w:tc>
          <w:tcPr>
            <w:tcW w:type="dxa" w:w="2891"/>
            <w:shd w:fill="0F2D5E" w:color="auto" w:val="clear"/>
            <w:tcMar>
              <w:top w:type="dxa" w:w="80"/>
              <w:left w:type="dxa" w:w="110"/>
              <w:bottom w:type="dxa" w:w="80"/>
              <w:right w:type="dxa" w:w="110"/>
            </w:tcMar>
            <w:vAlign w:val="top"/>
          </w:tcPr>
          <w:p>
            <w:pPr>
              <w:spacing w:after="40" w:line="260"/>
            </w:pPr>
          </w:p>
        </w:tc>
        <w:tc>
          <w:tcPr>
            <w:tcW w:type="dxa" w:w="3373"/>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Facilité faible (1 à 2)</w:t>
            </w:r>
          </w:p>
        </w:tc>
        <w:tc>
          <w:tcPr>
            <w:tcW w:type="dxa" w:w="3373"/>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Facilité forte (3 à 5)</w:t>
            </w:r>
          </w:p>
        </w:tc>
      </w:tr>
      <w:tr>
        <w:trPr>
          <w:cantSplit/>
          <w:tblHeader w:val="false"/>
        </w:trPr>
        <w:tc>
          <w:tcPr>
            <w:tcW w:type="dxa" w:w="2891"/>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Valeur forte (4 à 5)</w:t>
            </w:r>
          </w:p>
        </w:tc>
        <w:tc>
          <w:tcPr>
            <w:tcW w:type="dxa" w:w="3373"/>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Projets structurants</w:t>
            </w:r>
            <w:r>
              <w:rPr>
                <w:rFonts w:ascii="Calibri" w:cs="Calibri" w:eastAsia="Calibri" w:hAnsi="Calibri"/>
                <w:b w:val="false"/>
                <w:bCs w:val="false"/>
                <w:sz w:val="19"/>
                <w:szCs w:val="19"/>
              </w:rPr>
              <w:t xml:space="preserve"> : à cadrer au trimestre 2, à lancer au trimestre 3 avec un vrai projet (données, sécurité, budget).</w:t>
            </w:r>
          </w:p>
        </w:tc>
        <w:tc>
          <w:tcPr>
            <w:tcW w:type="dxa" w:w="3373"/>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Quick wins</w:t>
            </w:r>
            <w:r>
              <w:rPr>
                <w:rFonts w:ascii="Calibri" w:cs="Calibri" w:eastAsia="Calibri" w:hAnsi="Calibri"/>
                <w:b w:val="false"/>
                <w:bCs w:val="false"/>
                <w:sz w:val="19"/>
                <w:szCs w:val="19"/>
              </w:rPr>
              <w:t xml:space="preserve"> : à lancer dès le trimestre 1, ce sont eux qui construisent la légitimité de la démarche.</w:t>
            </w:r>
          </w:p>
        </w:tc>
      </w:tr>
      <w:tr>
        <w:trPr>
          <w:cantSplit/>
          <w:tblHeader w:val="false"/>
        </w:trPr>
        <w:tc>
          <w:tcPr>
            <w:tcW w:type="dxa" w:w="2891"/>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Valeur faible (1 à 3)</w:t>
            </w:r>
          </w:p>
        </w:tc>
        <w:tc>
          <w:tcPr>
            <w:tcW w:type="dxa" w:w="3373"/>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À écarter</w:t>
            </w:r>
            <w:r>
              <w:rPr>
                <w:rFonts w:ascii="Calibri" w:cs="Calibri" w:eastAsia="Calibri" w:hAnsi="Calibri"/>
                <w:b w:val="false"/>
                <w:bCs w:val="false"/>
                <w:sz w:val="19"/>
                <w:szCs w:val="19"/>
              </w:rPr>
              <w:t xml:space="preserve"> pour l'année 1, en le disant clairement aux porteurs.</w:t>
            </w:r>
          </w:p>
        </w:tc>
        <w:tc>
          <w:tcPr>
            <w:tcW w:type="dxa" w:w="3373"/>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Compléments</w:t>
            </w:r>
            <w:r>
              <w:rPr>
                <w:rFonts w:ascii="Calibri" w:cs="Calibri" w:eastAsia="Calibri" w:hAnsi="Calibri"/>
                <w:b w:val="false"/>
                <w:bCs w:val="false"/>
                <w:sz w:val="19"/>
                <w:szCs w:val="19"/>
              </w:rPr>
              <w:t xml:space="preserve"> : à diffuser via la bibliothèque de prompts et les ambassadeurs, sans projet dédié.</w:t>
            </w:r>
          </w:p>
        </w:tc>
      </w:tr>
    </w:tbl>
    <w:p>
      <w:pPr>
        <w:spacing w:after="120"/>
      </w:pPr>
    </w:p>
    <w:p>
      <w:pPr>
        <w:pStyle w:val="Heading2"/>
        <w:keepNext/>
        <w:spacing w:after="140" w:before="320"/>
      </w:pPr>
      <w:r>
        <w:rPr>
          <w:rFonts w:ascii="Calibri" w:cs="Calibri" w:eastAsia="Calibri" w:hAnsi="Calibri"/>
        </w:rPr>
        <w:t xml:space="preserve">2.3 Choisir peu et écrire pourquoi</w:t>
      </w:r>
    </w:p>
    <w:p>
      <w:pPr>
        <w:spacing w:after="140" w:before="0" w:line="276"/>
      </w:pPr>
      <w:r>
        <w:rPr>
          <w:rFonts w:ascii="Calibri" w:cs="Calibri" w:eastAsia="Calibri" w:hAnsi="Calibri"/>
        </w:rPr>
        <w:t xml:space="preserve">Le premier trimestre retient </w:t>
      </w:r>
      <w:r>
        <w:rPr>
          <w:rFonts w:ascii="Calibri" w:cs="Calibri" w:eastAsia="Calibri" w:hAnsi="Calibri"/>
          <w:b/>
          <w:bCs/>
        </w:rPr>
        <w:t xml:space="preserve">trois à cinq quick wins</w:t>
      </w:r>
      <w:r>
        <w:rPr>
          <w:rFonts w:ascii="Calibri" w:cs="Calibri" w:eastAsia="Calibri" w:hAnsi="Calibri"/>
        </w:rPr>
        <w:t xml:space="preserve"> et </w:t>
      </w:r>
      <w:r>
        <w:rPr>
          <w:rFonts w:ascii="Calibri" w:cs="Calibri" w:eastAsia="Calibri" w:hAnsi="Calibri"/>
          <w:b/>
          <w:bCs/>
        </w:rPr>
        <w:t xml:space="preserve">un ou deux projets structurants</w:t>
      </w:r>
      <w:r>
        <w:rPr>
          <w:rFonts w:ascii="Calibri" w:cs="Calibri" w:eastAsia="Calibri" w:hAnsi="Calibri"/>
        </w:rPr>
        <w:t xml:space="preserve"> à cadrer. Chaque cas retenu fait l'objet d'une fiche (annexe B) et chaque pilote d'une fiche de cadrage (annexe C). Les cas écartés restent dans le backlog, avec la raison de l'arbitrage : un cas écarté sans explication revient trois mois plus tard sous une autre forme.</w:t>
      </w:r>
    </w:p>
    <w:tbl>
      <w:tblPr>
        <w:tblW w:type="dxa" w:w="9638"/>
        <w:tblBorders>
          <w:top w:val="none" w:color="FFFFFF" w:sz="0"/>
          <w:left w:val="none" w:color="FFFFFF" w:sz="0"/>
          <w:bottom w:val="none" w:color="FFFFFF" w:sz="0"/>
          <w:right w:val="none" w:color="FFFFFF" w:sz="0"/>
          <w:insideH w:val="none" w:color="FFFFFF" w:sz="0"/>
          <w:insideV w:val="none" w:color="FFFFFF" w:sz="0"/>
        </w:tblBorders>
      </w:tblPr>
      <w:tblGrid>
        <w:gridCol w:w="9638"/>
      </w:tblGrid>
      <w:tr>
        <w:tc>
          <w:tcPr>
            <w:tcW w:type="dxa" w:w="9638"/>
            <w:tcBorders>
              <w:top w:val="none" w:color="FFFFFF" w:sz="0"/>
              <w:left w:val="single" w:color="1F5FBF" w:sz="24"/>
              <w:bottom w:val="none" w:color="FFFFFF" w:sz="0"/>
              <w:right w:val="none" w:color="FFFFFF" w:sz="0"/>
            </w:tcBorders>
            <w:shd w:fill="EAF1FB" w:color="auto" w:val="clear"/>
            <w:tcMar>
              <w:top w:type="dxa" w:w="140"/>
              <w:left w:type="dxa" w:w="200"/>
              <w:bottom w:type="dxa" w:w="100"/>
              <w:right w:type="dxa" w:w="200"/>
            </w:tcMar>
          </w:tcPr>
          <w:p>
            <w:pPr>
              <w:spacing w:after="80"/>
            </w:pPr>
            <w:r>
              <w:rPr>
                <w:rFonts w:ascii="Calibri" w:cs="Calibri" w:eastAsia="Calibri" w:hAnsi="Calibri"/>
                <w:b/>
                <w:bCs/>
                <w:color w:val="0F2D5E"/>
                <w:sz w:val="21"/>
                <w:szCs w:val="21"/>
              </w:rPr>
              <w:t xml:space="preserve">Critères de go / no-go d'un pilote</w:t>
            </w:r>
          </w:p>
          <w:p>
            <w:pPr>
              <w:spacing w:after="60" w:line="264"/>
            </w:pPr>
            <w:r>
              <w:rPr>
                <w:rFonts w:ascii="Calibri" w:cs="Calibri" w:eastAsia="Calibri" w:hAnsi="Calibri"/>
                <w:sz w:val="20"/>
                <w:szCs w:val="20"/>
              </w:rPr>
              <w:t xml:space="preserve">☐  Un porteur métier identifié, qui y consacre du temps et sera mesuré sur le résultat.</w:t>
            </w:r>
          </w:p>
          <w:p>
            <w:pPr>
              <w:spacing w:after="60" w:line="264"/>
            </w:pPr>
            <w:r>
              <w:rPr>
                <w:rFonts w:ascii="Calibri" w:cs="Calibri" w:eastAsia="Calibri" w:hAnsi="Calibri"/>
                <w:sz w:val="20"/>
                <w:szCs w:val="20"/>
              </w:rPr>
              <w:t xml:space="preserve">☐  Un périmètre de test délimité : une équipe, un processus, une durée de six à huit semaines.</w:t>
            </w:r>
          </w:p>
          <w:p>
            <w:pPr>
              <w:spacing w:after="60" w:line="264"/>
            </w:pPr>
            <w:r>
              <w:rPr>
                <w:rFonts w:ascii="Calibri" w:cs="Calibri" w:eastAsia="Calibri" w:hAnsi="Calibri"/>
                <w:sz w:val="20"/>
                <w:szCs w:val="20"/>
              </w:rPr>
              <w:t xml:space="preserve">☐  Des données accessibles sans projet d'intégration préalable.</w:t>
            </w:r>
          </w:p>
          <w:p>
            <w:pPr>
              <w:spacing w:after="60" w:line="264"/>
            </w:pPr>
            <w:r>
              <w:rPr>
                <w:rFonts w:ascii="Calibri" w:cs="Calibri" w:eastAsia="Calibri" w:hAnsi="Calibri"/>
                <w:sz w:val="20"/>
                <w:szCs w:val="20"/>
              </w:rPr>
              <w:t xml:space="preserve">☐  Un avis favorable ou une réserve levée du cercle des experts (sécurité, données personnelles, juridique).</w:t>
            </w:r>
          </w:p>
          <w:p>
            <w:pPr>
              <w:spacing w:after="60" w:line="264"/>
            </w:pPr>
            <w:r>
              <w:rPr>
                <w:rFonts w:ascii="Calibri" w:cs="Calibri" w:eastAsia="Calibri" w:hAnsi="Calibri"/>
                <w:sz w:val="20"/>
                <w:szCs w:val="20"/>
              </w:rPr>
              <w:t xml:space="preserve">☐  Un indicateur de départ mesuré avant le pilote, et une cible chiffrée.</w:t>
            </w:r>
          </w:p>
          <w:p>
            <w:pPr>
              <w:spacing w:after="60" w:line="264"/>
            </w:pPr>
            <w:r>
              <w:rPr>
                <w:rFonts w:ascii="Calibri" w:cs="Calibri" w:eastAsia="Calibri" w:hAnsi="Calibri"/>
                <w:sz w:val="20"/>
                <w:szCs w:val="20"/>
              </w:rPr>
              <w:t xml:space="preserve">☐  Un scénario de sortie écrit : que fait-on si le pilote réussit, et si le pilote échoue ?</w:t>
            </w:r>
          </w:p>
        </w:tc>
      </w:tr>
    </w:tbl>
    <w:p>
      <w:pPr>
        <w:spacing w:after="120"/>
      </w:pPr>
    </w:p>
    <w:p>
      <w:pPr>
        <w:pStyle w:val="Heading2"/>
        <w:keepNext/>
        <w:spacing w:after="140" w:before="320"/>
      </w:pPr>
      <w:r>
        <w:rPr>
          <w:rFonts w:ascii="Calibri" w:cs="Calibri" w:eastAsia="Calibri" w:hAnsi="Calibri"/>
        </w:rPr>
        <w:t xml:space="preserve">2.4 Repères de cas d'usage par grande fonction</w:t>
      </w:r>
    </w:p>
    <w:p>
      <w:pPr>
        <w:spacing w:after="140" w:before="0" w:line="276"/>
      </w:pPr>
      <w:r>
        <w:rPr>
          <w:rFonts w:ascii="Calibri" w:cs="Calibri" w:eastAsia="Calibri" w:hAnsi="Calibri"/>
        </w:rPr>
        <w:t xml:space="preserve">Pour amorcer l'inventaire, voici les familles de cas d'usage qui ressortent le plus fréquemment dans les grandes organisations. Elles sont classées par fonction et signalent le niveau habituel de départ.</w:t>
      </w:r>
    </w:p>
    <w:tbl>
      <w:tblPr>
        <w:tblW w:type="dxa" w:w="9638"/>
        <w:tblBorders>
          <w:top w:val="single" w:color="C9D3E0" w:sz="4"/>
          <w:left w:val="single" w:color="C9D3E0" w:sz="4"/>
          <w:bottom w:val="single" w:color="C9D3E0" w:sz="4"/>
          <w:right w:val="single" w:color="C9D3E0" w:sz="4"/>
          <w:insideH w:val="single" w:color="C9D3E0" w:sz="4"/>
          <w:insideV w:val="single" w:color="C9D3E0" w:sz="4"/>
        </w:tblBorders>
      </w:tblPr>
      <w:tblGrid>
        <w:gridCol w:w="1928"/>
        <w:gridCol w:w="7710"/>
      </w:tblGrid>
      <w:tr>
        <w:trPr>
          <w:cantSplit/>
          <w:tblHeader/>
        </w:trPr>
        <w:tc>
          <w:tcPr>
            <w:tcW w:type="dxa" w:w="1928"/>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Fonction</w:t>
            </w:r>
          </w:p>
        </w:tc>
        <w:tc>
          <w:tcPr>
            <w:tcW w:type="dxa" w:w="7710"/>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Cas d'usage fréquents en année 1</w:t>
            </w:r>
          </w:p>
        </w:tc>
      </w:tr>
      <w:tr>
        <w:trPr>
          <w:cantSplit/>
          <w:tblHeader w:val="false"/>
        </w:trPr>
        <w:tc>
          <w:tcPr>
            <w:tcW w:type="dxa" w:w="1928"/>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Tous métiers</w:t>
            </w:r>
          </w:p>
        </w:tc>
        <w:tc>
          <w:tcPr>
            <w:tcW w:type="dxa" w:w="7710"/>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Synthèse de documents longs, comptes rendus de réunion, préparation de présentations, rédaction et reformulation d'emails, recherche documentaire dans les sources internes (niveaux 1 et 2).</w:t>
            </w:r>
          </w:p>
        </w:tc>
      </w:tr>
      <w:tr>
        <w:trPr>
          <w:cantSplit/>
          <w:tblHeader w:val="false"/>
        </w:trPr>
        <w:tc>
          <w:tcPr>
            <w:tcW w:type="dxa" w:w="1928"/>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Ressources humaines</w:t>
            </w:r>
          </w:p>
        </w:tc>
        <w:tc>
          <w:tcPr>
            <w:tcW w:type="dxa" w:w="7710"/>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Rédaction de fiches de poste et d'annonces, préparation des entretiens annuels, réponses aux questions fréquentes des salariés, analyse de verbatims d'enquêtes internes (niveaux 1 et 2), puis vigie conformité sociale (niveau 3).</w:t>
            </w:r>
          </w:p>
        </w:tc>
      </w:tr>
      <w:tr>
        <w:trPr>
          <w:cantSplit/>
          <w:tblHeader w:val="false"/>
        </w:trPr>
        <w:tc>
          <w:tcPr>
            <w:tcW w:type="dxa" w:w="1928"/>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Finance</w:t>
            </w:r>
          </w:p>
        </w:tc>
        <w:tc>
          <w:tcPr>
            <w:tcW w:type="dxa" w:w="7710"/>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Commentaires de gestion, analyse d'écarts, préparation des revues budgétaires, contrôle de cohérence de reportings (niveaux 1 et 2), puis consolidation mensuelle déléguée (niveau 4).</w:t>
            </w:r>
          </w:p>
        </w:tc>
      </w:tr>
      <w:tr>
        <w:trPr>
          <w:cantSplit/>
          <w:tblHeader w:val="false"/>
        </w:trPr>
        <w:tc>
          <w:tcPr>
            <w:tcW w:type="dxa" w:w="1928"/>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Commercial et marketing</w:t>
            </w:r>
          </w:p>
        </w:tc>
        <w:tc>
          <w:tcPr>
            <w:tcW w:type="dxa" w:w="7710"/>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Réponses aux appels d'offres, personnalisation de propositions, contenus multi-formats, analyse de retours clients (niveaux 1 et 2), puis veille concurrentielle automatisée (niveau 3).</w:t>
            </w:r>
          </w:p>
        </w:tc>
      </w:tr>
      <w:tr>
        <w:trPr>
          <w:cantSplit/>
          <w:tblHeader w:val="false"/>
        </w:trPr>
        <w:tc>
          <w:tcPr>
            <w:tcW w:type="dxa" w:w="1928"/>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Achats et juridique</w:t>
            </w:r>
          </w:p>
        </w:tc>
        <w:tc>
          <w:tcPr>
            <w:tcW w:type="dxa" w:w="7710"/>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Analyse et comparaison de contrats, synthèse de conditions générales, préparation de négociations, veille réglementaire (niveaux 1 et 2), avec relecture systématique par un professionnel.</w:t>
            </w:r>
          </w:p>
        </w:tc>
      </w:tr>
      <w:tr>
        <w:trPr>
          <w:cantSplit/>
          <w:tblHeader w:val="false"/>
        </w:trPr>
        <w:tc>
          <w:tcPr>
            <w:tcW w:type="dxa" w:w="1928"/>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IT et data</w:t>
            </w:r>
          </w:p>
        </w:tc>
        <w:tc>
          <w:tcPr>
            <w:tcW w:type="dxa" w:w="7710"/>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Documentation technique, aide au code et aux scripts, analyse d'incidents, préparation des comités de changement (niveaux 1 à 3).</w:t>
            </w:r>
          </w:p>
        </w:tc>
      </w:tr>
      <w:tr>
        <w:trPr>
          <w:cantSplit/>
          <w:tblHeader w:val="false"/>
        </w:trPr>
        <w:tc>
          <w:tcPr>
            <w:tcW w:type="dxa" w:w="1928"/>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Management</w:t>
            </w:r>
          </w:p>
        </w:tc>
        <w:tc>
          <w:tcPr>
            <w:tcW w:type="dxa" w:w="7710"/>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Préparation des réunions d'équipe, feedback structuré, notes de cadrage, plans d'action, coaching de préparation d'entretiens (niveaux 1 et 2).</w:t>
            </w:r>
          </w:p>
        </w:tc>
      </w:tr>
    </w:tbl>
    <w:p>
      <w:pPr>
        <w:pStyle w:val="Heading1"/>
        <w:pageBreakBefore/>
        <w:spacing w:after="240" w:before="0"/>
      </w:pPr>
      <w:r>
        <w:rPr>
          <w:rFonts w:ascii="Calibri" w:cs="Calibri" w:eastAsia="Calibri" w:hAnsi="Calibri"/>
        </w:rPr>
        <w:t xml:space="preserve">3. Dérouler : la feuille de route en quatre trimestres</w:t>
      </w:r>
    </w:p>
    <w:p>
      <w:pPr>
        <w:spacing w:after="140" w:before="0" w:line="276"/>
      </w:pPr>
      <w:r>
        <w:rPr>
          <w:rFonts w:ascii="Calibri" w:cs="Calibri" w:eastAsia="Calibri" w:hAnsi="Calibri"/>
        </w:rPr>
        <w:t xml:space="preserve">La feuille de route ci-dessous décrit une année type. Chaque trimestre a un objectif dominant, des actions, des livrables et un jalon de fin de trimestre validé en comité de direction. Le calendrier détaillé mois par mois figure en annexe A.</w:t>
      </w:r>
    </w:p>
    <w:tbl>
      <w:tblPr>
        <w:tblW w:type="dxa" w:w="9638"/>
        <w:tblBorders>
          <w:top w:val="single" w:color="C9D3E0" w:sz="4"/>
          <w:left w:val="single" w:color="C9D3E0" w:sz="4"/>
          <w:bottom w:val="single" w:color="C9D3E0" w:sz="4"/>
          <w:right w:val="single" w:color="C9D3E0" w:sz="4"/>
          <w:insideH w:val="single" w:color="C9D3E0" w:sz="4"/>
          <w:insideV w:val="single" w:color="C9D3E0" w:sz="4"/>
        </w:tblBorders>
      </w:tblPr>
      <w:tblGrid>
        <w:gridCol w:w="1542"/>
        <w:gridCol w:w="2024"/>
        <w:gridCol w:w="2024"/>
        <w:gridCol w:w="2024"/>
        <w:gridCol w:w="2024"/>
      </w:tblGrid>
      <w:tr>
        <w:trPr>
          <w:cantSplit/>
          <w:tblHeader/>
        </w:trPr>
        <w:tc>
          <w:tcPr>
            <w:tcW w:type="dxa" w:w="1542"/>
            <w:shd w:fill="0F2D5E" w:color="auto" w:val="clear"/>
            <w:tcMar>
              <w:top w:type="dxa" w:w="80"/>
              <w:left w:type="dxa" w:w="110"/>
              <w:bottom w:type="dxa" w:w="80"/>
              <w:right w:type="dxa" w:w="110"/>
            </w:tcMar>
            <w:vAlign w:val="top"/>
          </w:tcPr>
          <w:p>
            <w:pPr>
              <w:spacing w:after="40" w:line="260"/>
            </w:pPr>
          </w:p>
        </w:tc>
        <w:tc>
          <w:tcPr>
            <w:tcW w:type="dxa" w:w="2024"/>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Trimestre 1</w:t>
            </w:r>
          </w:p>
        </w:tc>
        <w:tc>
          <w:tcPr>
            <w:tcW w:type="dxa" w:w="2024"/>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Trimestre 2</w:t>
            </w:r>
          </w:p>
        </w:tc>
        <w:tc>
          <w:tcPr>
            <w:tcW w:type="dxa" w:w="2024"/>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Trimestre 3</w:t>
            </w:r>
          </w:p>
        </w:tc>
        <w:tc>
          <w:tcPr>
            <w:tcW w:type="dxa" w:w="2024"/>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Trimestre 4</w:t>
            </w:r>
          </w:p>
        </w:tc>
      </w:tr>
      <w:tr>
        <w:trPr>
          <w:cantSplit/>
          <w:tblHeader w:val="false"/>
        </w:trPr>
        <w:tc>
          <w:tcPr>
            <w:tcW w:type="dxa" w:w="1542"/>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Objectif</w:t>
            </w:r>
          </w:p>
        </w:tc>
        <w:tc>
          <w:tcPr>
            <w:tcW w:type="dxa" w:w="2024"/>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Acculturer et cadrer</w:t>
            </w:r>
          </w:p>
        </w:tc>
        <w:tc>
          <w:tcPr>
            <w:tcW w:type="dxa" w:w="2024"/>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Piloter et prouver</w:t>
            </w:r>
          </w:p>
        </w:tc>
        <w:tc>
          <w:tcPr>
            <w:tcW w:type="dxa" w:w="2024"/>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Généraliser</w:t>
            </w:r>
          </w:p>
        </w:tc>
        <w:tc>
          <w:tcPr>
            <w:tcW w:type="dxa" w:w="2024"/>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Industrialiser et préparer l'année 2</w:t>
            </w:r>
          </w:p>
        </w:tc>
      </w:tr>
      <w:tr>
        <w:trPr>
          <w:cantSplit/>
          <w:tblHeader w:val="false"/>
        </w:trPr>
        <w:tc>
          <w:tcPr>
            <w:tcW w:type="dxa" w:w="1542"/>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Populations</w:t>
            </w:r>
          </w:p>
        </w:tc>
        <w:tc>
          <w:tcPr>
            <w:tcW w:type="dxa" w:w="2024"/>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Direction, référent, ambassadeurs, premières équipes volontaires</w:t>
            </w:r>
          </w:p>
        </w:tc>
        <w:tc>
          <w:tcPr>
            <w:tcW w:type="dxa" w:w="2024"/>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Équipes des pilotes, managers des directions concernées</w:t>
            </w:r>
          </w:p>
        </w:tc>
        <w:tc>
          <w:tcPr>
            <w:tcW w:type="dxa" w:w="2024"/>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L'ensemble du périmètre année 1</w:t>
            </w:r>
          </w:p>
        </w:tc>
        <w:tc>
          <w:tcPr>
            <w:tcW w:type="dxa" w:w="2024"/>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Populations avancées : porteurs d'agents et de coworks</w:t>
            </w:r>
          </w:p>
        </w:tc>
      </w:tr>
      <w:tr>
        <w:trPr>
          <w:cantSplit/>
          <w:tblHeader w:val="false"/>
        </w:trPr>
        <w:tc>
          <w:tcPr>
            <w:tcW w:type="dxa" w:w="1542"/>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Cas d'usage</w:t>
            </w:r>
          </w:p>
        </w:tc>
        <w:tc>
          <w:tcPr>
            <w:tcW w:type="dxa" w:w="2024"/>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3 à 5 quick wins</w:t>
            </w:r>
          </w:p>
        </w:tc>
        <w:tc>
          <w:tcPr>
            <w:tcW w:type="dxa" w:w="2024"/>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1 à 2 projets structurants en pilote</w:t>
            </w:r>
          </w:p>
        </w:tc>
        <w:tc>
          <w:tcPr>
            <w:tcW w:type="dxa" w:w="2024"/>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Bibliothèque de 20 à 30 cas diffusés</w:t>
            </w:r>
          </w:p>
        </w:tc>
        <w:tc>
          <w:tcPr>
            <w:tcW w:type="dxa" w:w="2024"/>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Premiers agents et coworks en production</w:t>
            </w:r>
          </w:p>
        </w:tc>
      </w:tr>
      <w:tr>
        <w:trPr>
          <w:cantSplit/>
          <w:tblHeader w:val="false"/>
        </w:trPr>
        <w:tc>
          <w:tcPr>
            <w:tcW w:type="dxa" w:w="1542"/>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Jalon de fin</w:t>
            </w:r>
          </w:p>
        </w:tc>
        <w:tc>
          <w:tcPr>
            <w:tcW w:type="dxa" w:w="2024"/>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Note de cadrage et charte validées, ambassadeurs formés</w:t>
            </w:r>
          </w:p>
        </w:tc>
        <w:tc>
          <w:tcPr>
            <w:tcW w:type="dxa" w:w="2024"/>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Bilan des pilotes et décision de généralisation</w:t>
            </w:r>
          </w:p>
        </w:tc>
        <w:tc>
          <w:tcPr>
            <w:tcW w:type="dxa" w:w="2024"/>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Taux d'usage cible atteint sur le périmètre</w:t>
            </w:r>
          </w:p>
        </w:tc>
        <w:tc>
          <w:tcPr>
            <w:tcW w:type="dxa" w:w="2024"/>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Bilan annuel et feuille de route année 2</w:t>
            </w:r>
          </w:p>
        </w:tc>
      </w:tr>
    </w:tbl>
    <w:p>
      <w:pPr>
        <w:spacing w:after="120"/>
      </w:pPr>
    </w:p>
    <w:p>
      <w:pPr>
        <w:pStyle w:val="Heading2"/>
        <w:keepNext/>
        <w:spacing w:after="140" w:before="320"/>
      </w:pPr>
      <w:r>
        <w:rPr>
          <w:rFonts w:ascii="Calibri" w:cs="Calibri" w:eastAsia="Calibri" w:hAnsi="Calibri"/>
        </w:rPr>
        <w:t xml:space="preserve">3.1 Trimestre 1 : acculturer et cadrer</w:t>
      </w:r>
    </w:p>
    <w:p>
      <w:pPr>
        <w:spacing w:after="140" w:before="0" w:line="276"/>
      </w:pPr>
      <w:r>
        <w:rPr>
          <w:rFonts w:ascii="Calibri" w:cs="Calibri" w:eastAsia="Calibri" w:hAnsi="Calibri"/>
          <w:b/>
          <w:bCs/>
        </w:rPr>
        <w:t xml:space="preserve">Objectif.</w:t>
      </w:r>
      <w:r>
        <w:rPr>
          <w:rFonts w:ascii="Calibri" w:cs="Calibri" w:eastAsia="Calibri" w:hAnsi="Calibri"/>
        </w:rPr>
        <w:t xml:space="preserve"> Donner un cadre, créer l'envie et obtenir des premiers résultats visibles. À la fin du trimestre, l'organisation dispose d'une ambition écrite, d'une charte publiée, d'une gouvernance installée, d'un réseau d'ambassadeurs formés et de trois à cinq quick wins en circulation.</w:t>
      </w:r>
    </w:p>
    <w:p>
      <w:pPr>
        <w:pStyle w:val="Heading3"/>
        <w:keepNext/>
        <w:spacing w:after="100" w:before="220"/>
      </w:pPr>
      <w:r>
        <w:rPr>
          <w:rFonts w:ascii="Calibri" w:cs="Calibri" w:eastAsia="Calibri" w:hAnsi="Calibri"/>
        </w:rPr>
        <w:t xml:space="preserve">Actions</w:t>
      </w:r>
    </w:p>
    <w:p>
      <w:pPr>
        <w:pStyle w:val="ListParagraph"/>
        <w:numPr>
          <w:ilvl w:val="0"/>
          <w:numId w:val="2"/>
        </w:numPr>
        <w:spacing w:after="80" w:line="276"/>
      </w:pPr>
      <w:r>
        <w:rPr>
          <w:rFonts w:ascii="Calibri" w:cs="Calibri" w:eastAsia="Calibri" w:hAnsi="Calibri"/>
          <w:b/>
          <w:bCs/>
        </w:rPr>
        <w:t xml:space="preserve">Semaine 1 à 4</w:t>
      </w:r>
      <w:r>
        <w:rPr>
          <w:rFonts w:ascii="Calibri" w:cs="Calibri" w:eastAsia="Calibri" w:hAnsi="Calibri"/>
        </w:rPr>
        <w:t xml:space="preserve"> : diagnostic express, entretiens avec les directions, note de cadrage (ambition, périmètre, principes, gouvernance), validation par le sponsor puis en comité de direction.</w:t>
      </w:r>
    </w:p>
    <w:p>
      <w:pPr>
        <w:pStyle w:val="ListParagraph"/>
        <w:numPr>
          <w:ilvl w:val="0"/>
          <w:numId w:val="2"/>
        </w:numPr>
        <w:spacing w:after="80" w:line="276"/>
      </w:pPr>
      <w:r>
        <w:rPr>
          <w:rFonts w:ascii="Calibri" w:cs="Calibri" w:eastAsia="Calibri" w:hAnsi="Calibri"/>
          <w:b/>
          <w:bCs/>
        </w:rPr>
        <w:t xml:space="preserve">Semaine 3 à 6</w:t>
      </w:r>
      <w:r>
        <w:rPr>
          <w:rFonts w:ascii="Calibri" w:cs="Calibri" w:eastAsia="Calibri" w:hAnsi="Calibri"/>
        </w:rPr>
        <w:t xml:space="preserve"> : rédaction et publication de la charte IA (notre modèle de charte IA entreprise, disponible sur nextstart.ai, sert de base), avis du cercle des experts et information des instances représentatives du personnel.</w:t>
      </w:r>
    </w:p>
    <w:p>
      <w:pPr>
        <w:pStyle w:val="ListParagraph"/>
        <w:numPr>
          <w:ilvl w:val="0"/>
          <w:numId w:val="2"/>
        </w:numPr>
        <w:spacing w:after="80" w:line="276"/>
      </w:pPr>
      <w:r>
        <w:rPr>
          <w:rFonts w:ascii="Calibri" w:cs="Calibri" w:eastAsia="Calibri" w:hAnsi="Calibri"/>
          <w:b/>
          <w:bCs/>
        </w:rPr>
        <w:t xml:space="preserve">Semaine 4 à 8</w:t>
      </w:r>
      <w:r>
        <w:rPr>
          <w:rFonts w:ascii="Calibri" w:cs="Calibri" w:eastAsia="Calibri" w:hAnsi="Calibri"/>
        </w:rPr>
        <w:t xml:space="preserve"> : sensibilisation du comité de direction (conférence ou atelier d'une demi-journée), recrutement et formation des ambassadeurs, ouverture des licences de l'outil de référence sur le périmètre.</w:t>
      </w:r>
    </w:p>
    <w:p>
      <w:pPr>
        <w:pStyle w:val="ListParagraph"/>
        <w:numPr>
          <w:ilvl w:val="0"/>
          <w:numId w:val="2"/>
        </w:numPr>
        <w:spacing w:after="80" w:line="276"/>
      </w:pPr>
      <w:r>
        <w:rPr>
          <w:rFonts w:ascii="Calibri" w:cs="Calibri" w:eastAsia="Calibri" w:hAnsi="Calibri"/>
          <w:b/>
          <w:bCs/>
        </w:rPr>
        <w:t xml:space="preserve">Semaine 6 à 12</w:t>
      </w:r>
      <w:r>
        <w:rPr>
          <w:rFonts w:ascii="Calibri" w:cs="Calibri" w:eastAsia="Calibri" w:hAnsi="Calibri"/>
        </w:rPr>
        <w:t xml:space="preserve"> : première vague de formation des équipes volontaires (sessions courtes et pratiques par métier), lancement des quick wins, création de la bibliothèque interne de prompts.</w:t>
      </w:r>
    </w:p>
    <w:p>
      <w:pPr>
        <w:pStyle w:val="ListParagraph"/>
        <w:numPr>
          <w:ilvl w:val="0"/>
          <w:numId w:val="2"/>
        </w:numPr>
        <w:spacing w:after="80" w:line="276"/>
      </w:pPr>
      <w:r>
        <w:rPr>
          <w:rFonts w:ascii="Calibri" w:cs="Calibri" w:eastAsia="Calibri" w:hAnsi="Calibri"/>
          <w:b/>
          <w:bCs/>
        </w:rPr>
        <w:t xml:space="preserve">Semaine 10 à 12</w:t>
      </w:r>
      <w:r>
        <w:rPr>
          <w:rFonts w:ascii="Calibri" w:cs="Calibri" w:eastAsia="Calibri" w:hAnsi="Calibri"/>
        </w:rPr>
        <w:t xml:space="preserve"> : mesure du baromètre à 3 mois, premier comité IA de bilan, préparation du cadrage des pilotes du trimestre 2.</w:t>
      </w:r>
    </w:p>
    <w:p>
      <w:pPr>
        <w:pStyle w:val="Heading3"/>
        <w:keepNext/>
        <w:spacing w:after="100" w:before="220"/>
      </w:pPr>
      <w:r>
        <w:rPr>
          <w:rFonts w:ascii="Calibri" w:cs="Calibri" w:eastAsia="Calibri" w:hAnsi="Calibri"/>
        </w:rPr>
        <w:t xml:space="preserve">Livrables</w:t>
      </w:r>
    </w:p>
    <w:p>
      <w:pPr>
        <w:pStyle w:val="ListParagraph"/>
        <w:numPr>
          <w:ilvl w:val="0"/>
          <w:numId w:val="2"/>
        </w:numPr>
        <w:spacing w:after="80" w:line="276"/>
      </w:pPr>
      <w:r>
        <w:rPr>
          <w:rFonts w:ascii="Calibri" w:cs="Calibri" w:eastAsia="Calibri" w:hAnsi="Calibri"/>
        </w:rPr>
        <w:t xml:space="preserve">Note de cadrage validée (1 à 2 pages).</w:t>
      </w:r>
    </w:p>
    <w:p>
      <w:pPr>
        <w:pStyle w:val="ListParagraph"/>
        <w:numPr>
          <w:ilvl w:val="0"/>
          <w:numId w:val="2"/>
        </w:numPr>
        <w:spacing w:after="80" w:line="276"/>
      </w:pPr>
      <w:r>
        <w:rPr>
          <w:rFonts w:ascii="Calibri" w:cs="Calibri" w:eastAsia="Calibri" w:hAnsi="Calibri"/>
        </w:rPr>
        <w:t xml:space="preserve">Charte IA publiée et communiquée.</w:t>
      </w:r>
    </w:p>
    <w:p>
      <w:pPr>
        <w:pStyle w:val="ListParagraph"/>
        <w:numPr>
          <w:ilvl w:val="0"/>
          <w:numId w:val="2"/>
        </w:numPr>
        <w:spacing w:after="80" w:line="276"/>
      </w:pPr>
      <w:r>
        <w:rPr>
          <w:rFonts w:ascii="Calibri" w:cs="Calibri" w:eastAsia="Calibri" w:hAnsi="Calibri"/>
        </w:rPr>
        <w:t xml:space="preserve">Liste des ambassadeurs formés, avec leur équipe de rattachement.</w:t>
      </w:r>
    </w:p>
    <w:p>
      <w:pPr>
        <w:pStyle w:val="ListParagraph"/>
        <w:numPr>
          <w:ilvl w:val="0"/>
          <w:numId w:val="2"/>
        </w:numPr>
        <w:spacing w:after="80" w:line="276"/>
      </w:pPr>
      <w:r>
        <w:rPr>
          <w:rFonts w:ascii="Calibri" w:cs="Calibri" w:eastAsia="Calibri" w:hAnsi="Calibri"/>
        </w:rPr>
        <w:t xml:space="preserve">Backlog de cas d'usage classé (annexe B) et quick wins lancés.</w:t>
      </w:r>
    </w:p>
    <w:p>
      <w:pPr>
        <w:pStyle w:val="ListParagraph"/>
        <w:numPr>
          <w:ilvl w:val="0"/>
          <w:numId w:val="2"/>
        </w:numPr>
        <w:spacing w:after="80" w:line="276"/>
      </w:pPr>
      <w:r>
        <w:rPr>
          <w:rFonts w:ascii="Calibri" w:cs="Calibri" w:eastAsia="Calibri" w:hAnsi="Calibri"/>
        </w:rPr>
        <w:t xml:space="preserve">Tableau de bord initial avec les valeurs de départ.</w:t>
      </w:r>
    </w:p>
    <w:tbl>
      <w:tblPr>
        <w:tblW w:type="dxa" w:w="9638"/>
        <w:tblBorders>
          <w:top w:val="none" w:color="FFFFFF" w:sz="0"/>
          <w:left w:val="none" w:color="FFFFFF" w:sz="0"/>
          <w:bottom w:val="none" w:color="FFFFFF" w:sz="0"/>
          <w:right w:val="none" w:color="FFFFFF" w:sz="0"/>
          <w:insideH w:val="none" w:color="FFFFFF" w:sz="0"/>
          <w:insideV w:val="none" w:color="FFFFFF" w:sz="0"/>
        </w:tblBorders>
      </w:tblPr>
      <w:tblGrid>
        <w:gridCol w:w="9638"/>
      </w:tblGrid>
      <w:tr>
        <w:tc>
          <w:tcPr>
            <w:tcW w:type="dxa" w:w="9638"/>
            <w:tcBorders>
              <w:top w:val="none" w:color="FFFFFF" w:sz="0"/>
              <w:left w:val="single" w:color="1F5FBF" w:sz="24"/>
              <w:bottom w:val="none" w:color="FFFFFF" w:sz="0"/>
              <w:right w:val="none" w:color="FFFFFF" w:sz="0"/>
            </w:tcBorders>
            <w:shd w:fill="EAF1FB" w:color="auto" w:val="clear"/>
            <w:tcMar>
              <w:top w:type="dxa" w:w="140"/>
              <w:left w:type="dxa" w:w="200"/>
              <w:bottom w:type="dxa" w:w="100"/>
              <w:right w:type="dxa" w:w="200"/>
            </w:tcMar>
          </w:tcPr>
          <w:p>
            <w:pPr>
              <w:spacing w:after="80"/>
            </w:pPr>
            <w:r>
              <w:rPr>
                <w:rFonts w:ascii="Calibri" w:cs="Calibri" w:eastAsia="Calibri" w:hAnsi="Calibri"/>
                <w:b/>
                <w:bCs/>
                <w:color w:val="0F2D5E"/>
                <w:sz w:val="21"/>
                <w:szCs w:val="21"/>
              </w:rPr>
              <w:t xml:space="preserve">Erreurs fréquentes au trimestre 1</w:t>
            </w:r>
          </w:p>
          <w:p>
            <w:pPr>
              <w:spacing w:after="60" w:line="264"/>
            </w:pPr>
            <w:r>
              <w:rPr>
                <w:rFonts w:ascii="Calibri" w:cs="Calibri" w:eastAsia="Calibri" w:hAnsi="Calibri"/>
                <w:sz w:val="20"/>
                <w:szCs w:val="20"/>
              </w:rPr>
              <w:t xml:space="preserve">Attendre que la charte soit parfaite pour ouvrir les licences : les collaborateurs utilisent déjà des outils personnels, chaque semaine de retard prolonge l'usage non encadré.</w:t>
            </w:r>
          </w:p>
          <w:p>
            <w:pPr>
              <w:spacing w:after="60" w:line="264"/>
            </w:pPr>
            <w:r>
              <w:rPr>
                <w:rFonts w:ascii="Calibri" w:cs="Calibri" w:eastAsia="Calibri" w:hAnsi="Calibri"/>
                <w:sz w:val="20"/>
                <w:szCs w:val="20"/>
              </w:rPr>
              <w:t xml:space="preserve">Former « tout le monde » à une IA générique en amphithéâtre : les formations qui marquent sont courtes, par métier, sur les vrais cas d'usage des participants.</w:t>
            </w:r>
          </w:p>
          <w:p>
            <w:pPr>
              <w:spacing w:after="60" w:line="264"/>
            </w:pPr>
            <w:r>
              <w:rPr>
                <w:rFonts w:ascii="Calibri" w:cs="Calibri" w:eastAsia="Calibri" w:hAnsi="Calibri"/>
                <w:sz w:val="20"/>
                <w:szCs w:val="20"/>
              </w:rPr>
              <w:t xml:space="preserve">Nommer des ambassadeurs sans leur donner ni temps ni mandat : un ambassadeur non formé et non reconnu disparaît en six semaines.</w:t>
            </w:r>
          </w:p>
        </w:tc>
      </w:tr>
    </w:tbl>
    <w:p>
      <w:pPr>
        <w:pStyle w:val="Heading2"/>
        <w:keepNext/>
        <w:spacing w:after="140" w:before="320"/>
      </w:pPr>
      <w:r>
        <w:rPr>
          <w:rFonts w:ascii="Calibri" w:cs="Calibri" w:eastAsia="Calibri" w:hAnsi="Calibri"/>
        </w:rPr>
        <w:t xml:space="preserve">3.2 Trimestre 2 : piloter et prouver</w:t>
      </w:r>
    </w:p>
    <w:p>
      <w:pPr>
        <w:spacing w:after="140" w:before="0" w:line="276"/>
      </w:pPr>
      <w:r>
        <w:rPr>
          <w:rFonts w:ascii="Calibri" w:cs="Calibri" w:eastAsia="Calibri" w:hAnsi="Calibri"/>
          <w:b/>
          <w:bCs/>
        </w:rPr>
        <w:t xml:space="preserve">Objectif.</w:t>
      </w:r>
      <w:r>
        <w:rPr>
          <w:rFonts w:ascii="Calibri" w:cs="Calibri" w:eastAsia="Calibri" w:hAnsi="Calibri"/>
        </w:rPr>
        <w:t xml:space="preserve"> Démontrer la valeur sur un ou deux projets structurants, mesurés, et étendre la formation aux directions concernées. À la fin du trimestre, le comité de direction dispose d'un bilan chiffré et décide de la généralisation.</w:t>
      </w:r>
    </w:p>
    <w:p>
      <w:pPr>
        <w:pStyle w:val="Heading3"/>
        <w:keepNext/>
        <w:spacing w:after="100" w:before="220"/>
      </w:pPr>
      <w:r>
        <w:rPr>
          <w:rFonts w:ascii="Calibri" w:cs="Calibri" w:eastAsia="Calibri" w:hAnsi="Calibri"/>
        </w:rPr>
        <w:t xml:space="preserve">Actions</w:t>
      </w:r>
    </w:p>
    <w:p>
      <w:pPr>
        <w:pStyle w:val="ListParagraph"/>
        <w:numPr>
          <w:ilvl w:val="0"/>
          <w:numId w:val="2"/>
        </w:numPr>
        <w:spacing w:after="80" w:line="276"/>
      </w:pPr>
      <w:r>
        <w:rPr>
          <w:rFonts w:ascii="Calibri" w:cs="Calibri" w:eastAsia="Calibri" w:hAnsi="Calibri"/>
        </w:rPr>
        <w:t xml:space="preserve">Cadrage des pilotes avec la fiche de l'annexe C : porteur, périmètre, données, indicateur de départ, cible, durée de six à huit semaines.</w:t>
      </w:r>
    </w:p>
    <w:p>
      <w:pPr>
        <w:pStyle w:val="ListParagraph"/>
        <w:numPr>
          <w:ilvl w:val="0"/>
          <w:numId w:val="2"/>
        </w:numPr>
        <w:spacing w:after="80" w:line="276"/>
      </w:pPr>
      <w:r>
        <w:rPr>
          <w:rFonts w:ascii="Calibri" w:cs="Calibri" w:eastAsia="Calibri" w:hAnsi="Calibri"/>
        </w:rPr>
        <w:t xml:space="preserve">Passage des pilotes devant le cercle des experts : sécurité, données personnelles, juridique, et le cas échéant dialogue social.</w:t>
      </w:r>
    </w:p>
    <w:p>
      <w:pPr>
        <w:pStyle w:val="ListParagraph"/>
        <w:numPr>
          <w:ilvl w:val="0"/>
          <w:numId w:val="2"/>
        </w:numPr>
        <w:spacing w:after="80" w:line="276"/>
      </w:pPr>
      <w:r>
        <w:rPr>
          <w:rFonts w:ascii="Calibri" w:cs="Calibri" w:eastAsia="Calibri" w:hAnsi="Calibri"/>
        </w:rPr>
        <w:t xml:space="preserve">Formation des équipes pilotes au niveau requis (assistants configurés, premiers agents), avec accompagnement rapproché des ambassadeurs.</w:t>
      </w:r>
    </w:p>
    <w:p>
      <w:pPr>
        <w:pStyle w:val="ListParagraph"/>
        <w:numPr>
          <w:ilvl w:val="0"/>
          <w:numId w:val="2"/>
        </w:numPr>
        <w:spacing w:after="80" w:line="276"/>
      </w:pPr>
      <w:r>
        <w:rPr>
          <w:rFonts w:ascii="Calibri" w:cs="Calibri" w:eastAsia="Calibri" w:hAnsi="Calibri"/>
        </w:rPr>
        <w:t xml:space="preserve">Deuxième vague de formation : managers des directions concernées (rôle du manager dans l'adoption, rituels d'équipe, conduite du changement).</w:t>
      </w:r>
    </w:p>
    <w:p>
      <w:pPr>
        <w:pStyle w:val="ListParagraph"/>
        <w:numPr>
          <w:ilvl w:val="0"/>
          <w:numId w:val="2"/>
        </w:numPr>
        <w:spacing w:after="80" w:line="276"/>
      </w:pPr>
      <w:r>
        <w:rPr>
          <w:rFonts w:ascii="Calibri" w:cs="Calibri" w:eastAsia="Calibri" w:hAnsi="Calibri"/>
        </w:rPr>
        <w:t xml:space="preserve">Point à mi-pilote au comité IA mensuel, puis bilan chiffré présenté en revue trimestrielle avec une recommandation : généraliser, prolonger ou arrêter.</w:t>
      </w:r>
    </w:p>
    <w:p>
      <w:pPr>
        <w:pStyle w:val="Heading3"/>
        <w:keepNext/>
        <w:spacing w:after="100" w:before="220"/>
      </w:pPr>
      <w:r>
        <w:rPr>
          <w:rFonts w:ascii="Calibri" w:cs="Calibri" w:eastAsia="Calibri" w:hAnsi="Calibri"/>
        </w:rPr>
        <w:t xml:space="preserve">Livrables</w:t>
      </w:r>
    </w:p>
    <w:p>
      <w:pPr>
        <w:pStyle w:val="ListParagraph"/>
        <w:numPr>
          <w:ilvl w:val="0"/>
          <w:numId w:val="2"/>
        </w:numPr>
        <w:spacing w:after="80" w:line="276"/>
      </w:pPr>
      <w:r>
        <w:rPr>
          <w:rFonts w:ascii="Calibri" w:cs="Calibri" w:eastAsia="Calibri" w:hAnsi="Calibri"/>
        </w:rPr>
        <w:t xml:space="preserve">Fiches de cadrage des pilotes, signées par les porteurs.</w:t>
      </w:r>
    </w:p>
    <w:p>
      <w:pPr>
        <w:pStyle w:val="ListParagraph"/>
        <w:numPr>
          <w:ilvl w:val="0"/>
          <w:numId w:val="2"/>
        </w:numPr>
        <w:spacing w:after="80" w:line="276"/>
      </w:pPr>
      <w:r>
        <w:rPr>
          <w:rFonts w:ascii="Calibri" w:cs="Calibri" w:eastAsia="Calibri" w:hAnsi="Calibri"/>
        </w:rPr>
        <w:t xml:space="preserve">Bilan de chaque pilote : usage, valeur, qualité, risques, retours des utilisateurs.</w:t>
      </w:r>
    </w:p>
    <w:p>
      <w:pPr>
        <w:pStyle w:val="ListParagraph"/>
        <w:numPr>
          <w:ilvl w:val="0"/>
          <w:numId w:val="2"/>
        </w:numPr>
        <w:spacing w:after="80" w:line="276"/>
      </w:pPr>
      <w:r>
        <w:rPr>
          <w:rFonts w:ascii="Calibri" w:cs="Calibri" w:eastAsia="Calibri" w:hAnsi="Calibri"/>
        </w:rPr>
        <w:t xml:space="preserve">Décision écrite de généralisation avec ses conditions.</w:t>
      </w:r>
    </w:p>
    <w:p>
      <w:pPr>
        <w:pStyle w:val="ListParagraph"/>
        <w:numPr>
          <w:ilvl w:val="0"/>
          <w:numId w:val="2"/>
        </w:numPr>
        <w:spacing w:after="80" w:line="276"/>
      </w:pPr>
      <w:r>
        <w:rPr>
          <w:rFonts w:ascii="Calibri" w:cs="Calibri" w:eastAsia="Calibri" w:hAnsi="Calibri"/>
        </w:rPr>
        <w:t xml:space="preserve">Bibliothèque interne enrichie des assistants et prompts issus des pilotes.</w:t>
      </w:r>
    </w:p>
    <w:tbl>
      <w:tblPr>
        <w:tblW w:type="dxa" w:w="9638"/>
        <w:tblBorders>
          <w:top w:val="none" w:color="FFFFFF" w:sz="0"/>
          <w:left w:val="none" w:color="FFFFFF" w:sz="0"/>
          <w:bottom w:val="none" w:color="FFFFFF" w:sz="0"/>
          <w:right w:val="none" w:color="FFFFFF" w:sz="0"/>
          <w:insideH w:val="none" w:color="FFFFFF" w:sz="0"/>
          <w:insideV w:val="none" w:color="FFFFFF" w:sz="0"/>
        </w:tblBorders>
      </w:tblPr>
      <w:tblGrid>
        <w:gridCol w:w="9638"/>
      </w:tblGrid>
      <w:tr>
        <w:tc>
          <w:tcPr>
            <w:tcW w:type="dxa" w:w="9638"/>
            <w:tcBorders>
              <w:top w:val="none" w:color="FFFFFF" w:sz="0"/>
              <w:left w:val="single" w:color="1F5FBF" w:sz="24"/>
              <w:bottom w:val="none" w:color="FFFFFF" w:sz="0"/>
              <w:right w:val="none" w:color="FFFFFF" w:sz="0"/>
            </w:tcBorders>
            <w:shd w:fill="EAF1FB" w:color="auto" w:val="clear"/>
            <w:tcMar>
              <w:top w:type="dxa" w:w="140"/>
              <w:left w:type="dxa" w:w="200"/>
              <w:bottom w:type="dxa" w:w="100"/>
              <w:right w:type="dxa" w:w="200"/>
            </w:tcMar>
          </w:tcPr>
          <w:p>
            <w:pPr>
              <w:spacing w:after="80"/>
            </w:pPr>
            <w:r>
              <w:rPr>
                <w:rFonts w:ascii="Calibri" w:cs="Calibri" w:eastAsia="Calibri" w:hAnsi="Calibri"/>
                <w:b/>
                <w:bCs/>
                <w:color w:val="0F2D5E"/>
                <w:sz w:val="21"/>
                <w:szCs w:val="21"/>
              </w:rPr>
              <w:t xml:space="preserve">Repère : la mesure d'un pilote</w:t>
            </w:r>
          </w:p>
          <w:p>
            <w:pPr>
              <w:spacing w:after="60" w:line="264"/>
            </w:pPr>
            <w:r>
              <w:rPr>
                <w:rFonts w:ascii="Calibri" w:cs="Calibri" w:eastAsia="Calibri" w:hAnsi="Calibri"/>
                <w:sz w:val="20"/>
                <w:szCs w:val="20"/>
              </w:rPr>
              <w:t xml:space="preserve">Un pilote se mesure avec trois chiffres au maximum : un indicateur d'usage (part des personnes du périmètre qui utilisent au moins une fois par semaine), un indicateur de valeur (temps gagné par tâche ou délai de traitement, mesuré avant et après sur un échantillon) et un indicateur de qualité ou de risque (taux de reprise des livrables, incidents). Trois chiffres bien mesurés convainquent un comité de direction ; quinze indicateurs approximatifs le lassent.</w:t>
            </w:r>
          </w:p>
        </w:tc>
      </w:tr>
    </w:tbl>
    <w:p>
      <w:pPr>
        <w:pStyle w:val="Heading2"/>
        <w:keepNext/>
        <w:spacing w:after="140" w:before="320"/>
      </w:pPr>
      <w:r>
        <w:rPr>
          <w:rFonts w:ascii="Calibri" w:cs="Calibri" w:eastAsia="Calibri" w:hAnsi="Calibri"/>
        </w:rPr>
        <w:t xml:space="preserve">3.3 Trimestre 3 : généraliser</w:t>
      </w:r>
    </w:p>
    <w:p>
      <w:pPr>
        <w:spacing w:after="140" w:before="0" w:line="276"/>
      </w:pPr>
      <w:r>
        <w:rPr>
          <w:rFonts w:ascii="Calibri" w:cs="Calibri" w:eastAsia="Calibri" w:hAnsi="Calibri"/>
          <w:b/>
          <w:bCs/>
        </w:rPr>
        <w:t xml:space="preserve">Objectif.</w:t>
      </w:r>
      <w:r>
        <w:rPr>
          <w:rFonts w:ascii="Calibri" w:cs="Calibri" w:eastAsia="Calibri" w:hAnsi="Calibri"/>
        </w:rPr>
        <w:t xml:space="preserve"> Étendre l'usage à l'ensemble du périmètre de l'année 1, diffuser la bibliothèque de cas d'usage et rendre la pratique courante dans chaque direction. À la fin du trimestre, le taux d'usage cible est atteint et les managers portent le sujet dans leurs équipes.</w:t>
      </w:r>
    </w:p>
    <w:p>
      <w:pPr>
        <w:pStyle w:val="Heading3"/>
        <w:keepNext/>
        <w:spacing w:after="100" w:before="220"/>
      </w:pPr>
      <w:r>
        <w:rPr>
          <w:rFonts w:ascii="Calibri" w:cs="Calibri" w:eastAsia="Calibri" w:hAnsi="Calibri"/>
        </w:rPr>
        <w:t xml:space="preserve">Actions</w:t>
      </w:r>
    </w:p>
    <w:p>
      <w:pPr>
        <w:pStyle w:val="ListParagraph"/>
        <w:numPr>
          <w:ilvl w:val="0"/>
          <w:numId w:val="2"/>
        </w:numPr>
        <w:spacing w:after="80" w:line="276"/>
      </w:pPr>
      <w:r>
        <w:rPr>
          <w:rFonts w:ascii="Calibri" w:cs="Calibri" w:eastAsia="Calibri" w:hAnsi="Calibri"/>
        </w:rPr>
        <w:t xml:space="preserve">Déploiement des licences à l'ensemble du périmètre, avec un parcours d'entrée obligatoire (charte, règles de données, prise en main) tracé dans l'outil de formation.</w:t>
      </w:r>
    </w:p>
    <w:p>
      <w:pPr>
        <w:pStyle w:val="ListParagraph"/>
        <w:numPr>
          <w:ilvl w:val="0"/>
          <w:numId w:val="2"/>
        </w:numPr>
        <w:spacing w:after="80" w:line="276"/>
      </w:pPr>
      <w:r>
        <w:rPr>
          <w:rFonts w:ascii="Calibri" w:cs="Calibri" w:eastAsia="Calibri" w:hAnsi="Calibri"/>
        </w:rPr>
        <w:t xml:space="preserve">Formation par vagues métier, animée avec les ambassadeurs : chaque session part des cas d'usage du métier et se termine par un engagement individuel (« mon cas d'usage de la semaine »).</w:t>
      </w:r>
    </w:p>
    <w:p>
      <w:pPr>
        <w:pStyle w:val="ListParagraph"/>
        <w:numPr>
          <w:ilvl w:val="0"/>
          <w:numId w:val="2"/>
        </w:numPr>
        <w:spacing w:after="80" w:line="276"/>
      </w:pPr>
      <w:r>
        <w:rPr>
          <w:rFonts w:ascii="Calibri" w:cs="Calibri" w:eastAsia="Calibri" w:hAnsi="Calibri"/>
        </w:rPr>
        <w:t xml:space="preserve">Généralisation des pilotes réussis : intégration dans les procédures et les outils du processus, formation des équipes, mise à jour des fiches de poste si nécessaire.</w:t>
      </w:r>
    </w:p>
    <w:p>
      <w:pPr>
        <w:pStyle w:val="ListParagraph"/>
        <w:numPr>
          <w:ilvl w:val="0"/>
          <w:numId w:val="2"/>
        </w:numPr>
        <w:spacing w:after="80" w:line="276"/>
      </w:pPr>
      <w:r>
        <w:rPr>
          <w:rFonts w:ascii="Calibri" w:cs="Calibri" w:eastAsia="Calibri" w:hAnsi="Calibri"/>
        </w:rPr>
        <w:t xml:space="preserve">Animation continue : rendez-vous mensuel de partage de cas d'usage (30 minutes, en ligne), concours interne de prompts, newsletter courte des ambassadeurs.</w:t>
      </w:r>
    </w:p>
    <w:p>
      <w:pPr>
        <w:pStyle w:val="ListParagraph"/>
        <w:numPr>
          <w:ilvl w:val="0"/>
          <w:numId w:val="2"/>
        </w:numPr>
        <w:spacing w:after="80" w:line="276"/>
      </w:pPr>
      <w:r>
        <w:rPr>
          <w:rFonts w:ascii="Calibri" w:cs="Calibri" w:eastAsia="Calibri" w:hAnsi="Calibri"/>
        </w:rPr>
        <w:t xml:space="preserve">Baromètre à 6 mois et mesure du taux d'usage par direction, restitués aux directeurs avec un plan d'action là où l'adoption est en retard.</w:t>
      </w:r>
    </w:p>
    <w:p>
      <w:pPr>
        <w:pStyle w:val="Heading3"/>
        <w:keepNext/>
        <w:spacing w:after="100" w:before="220"/>
      </w:pPr>
      <w:r>
        <w:rPr>
          <w:rFonts w:ascii="Calibri" w:cs="Calibri" w:eastAsia="Calibri" w:hAnsi="Calibri"/>
        </w:rPr>
        <w:t xml:space="preserve">Livrables</w:t>
      </w:r>
    </w:p>
    <w:p>
      <w:pPr>
        <w:pStyle w:val="ListParagraph"/>
        <w:numPr>
          <w:ilvl w:val="0"/>
          <w:numId w:val="2"/>
        </w:numPr>
        <w:spacing w:after="80" w:line="276"/>
      </w:pPr>
      <w:r>
        <w:rPr>
          <w:rFonts w:ascii="Calibri" w:cs="Calibri" w:eastAsia="Calibri" w:hAnsi="Calibri"/>
        </w:rPr>
        <w:t xml:space="preserve">Bibliothèque de 20 à 30 cas d'usage documentés, classés par métier et par niveau.</w:t>
      </w:r>
    </w:p>
    <w:p>
      <w:pPr>
        <w:pStyle w:val="ListParagraph"/>
        <w:numPr>
          <w:ilvl w:val="0"/>
          <w:numId w:val="2"/>
        </w:numPr>
        <w:spacing w:after="80" w:line="276"/>
      </w:pPr>
      <w:r>
        <w:rPr>
          <w:rFonts w:ascii="Calibri" w:cs="Calibri" w:eastAsia="Calibri" w:hAnsi="Calibri"/>
        </w:rPr>
        <w:t xml:space="preserve">Parcours d'entrée et attestations de formation archivées (article 4 de l'AI Act).</w:t>
      </w:r>
    </w:p>
    <w:p>
      <w:pPr>
        <w:pStyle w:val="ListParagraph"/>
        <w:numPr>
          <w:ilvl w:val="0"/>
          <w:numId w:val="2"/>
        </w:numPr>
        <w:spacing w:after="80" w:line="276"/>
      </w:pPr>
      <w:r>
        <w:rPr>
          <w:rFonts w:ascii="Calibri" w:cs="Calibri" w:eastAsia="Calibri" w:hAnsi="Calibri"/>
        </w:rPr>
        <w:t xml:space="preserve">Tableau de bord d'adoption par direction.</w:t>
      </w:r>
    </w:p>
    <w:p>
      <w:pPr>
        <w:pStyle w:val="ListParagraph"/>
        <w:numPr>
          <w:ilvl w:val="0"/>
          <w:numId w:val="2"/>
        </w:numPr>
        <w:spacing w:after="80" w:line="276"/>
      </w:pPr>
      <w:r>
        <w:rPr>
          <w:rFonts w:ascii="Calibri" w:cs="Calibri" w:eastAsia="Calibri" w:hAnsi="Calibri"/>
        </w:rPr>
        <w:t xml:space="preserve">Cadrage des premiers agents et coworks du trimestre 4.</w:t>
      </w:r>
    </w:p>
    <w:p>
      <w:pPr>
        <w:pStyle w:val="Heading2"/>
        <w:keepNext/>
        <w:spacing w:after="140" w:before="320"/>
      </w:pPr>
      <w:r>
        <w:rPr>
          <w:rFonts w:ascii="Calibri" w:cs="Calibri" w:eastAsia="Calibri" w:hAnsi="Calibri"/>
        </w:rPr>
        <w:t xml:space="preserve">3.4 Trimestre 4 : industrialiser et préparer l'année 2</w:t>
      </w:r>
    </w:p>
    <w:p>
      <w:pPr>
        <w:spacing w:after="140" w:before="0" w:line="276"/>
      </w:pPr>
      <w:r>
        <w:rPr>
          <w:rFonts w:ascii="Calibri" w:cs="Calibri" w:eastAsia="Calibri" w:hAnsi="Calibri"/>
          <w:b/>
          <w:bCs/>
        </w:rPr>
        <w:t xml:space="preserve">Objectif.</w:t>
      </w:r>
      <w:r>
        <w:rPr>
          <w:rFonts w:ascii="Calibri" w:cs="Calibri" w:eastAsia="Calibri" w:hAnsi="Calibri"/>
        </w:rPr>
        <w:t xml:space="preserve"> Passer des usages individuels aux usages collectifs et outillés : premiers agents connectés et premiers dossiers délégués en production, capitalisation, mesure du retour sur investissement et feuille de route de l'année 2.</w:t>
      </w:r>
    </w:p>
    <w:p>
      <w:pPr>
        <w:pStyle w:val="Heading3"/>
        <w:keepNext/>
        <w:spacing w:after="100" w:before="220"/>
      </w:pPr>
      <w:r>
        <w:rPr>
          <w:rFonts w:ascii="Calibri" w:cs="Calibri" w:eastAsia="Calibri" w:hAnsi="Calibri"/>
        </w:rPr>
        <w:t xml:space="preserve">Actions</w:t>
      </w:r>
    </w:p>
    <w:p>
      <w:pPr>
        <w:pStyle w:val="ListParagraph"/>
        <w:numPr>
          <w:ilvl w:val="0"/>
          <w:numId w:val="2"/>
        </w:numPr>
        <w:spacing w:after="80" w:line="276"/>
      </w:pPr>
      <w:r>
        <w:rPr>
          <w:rFonts w:ascii="Calibri" w:cs="Calibri" w:eastAsia="Calibri" w:hAnsi="Calibri"/>
        </w:rPr>
        <w:t xml:space="preserve">Mise en production de deux à quatre agents connectés ou coworks issus du backlog, avec leur cahier des charges, leur responsable et leurs règles de relecture.</w:t>
      </w:r>
    </w:p>
    <w:p>
      <w:pPr>
        <w:pStyle w:val="ListParagraph"/>
        <w:numPr>
          <w:ilvl w:val="0"/>
          <w:numId w:val="2"/>
        </w:numPr>
        <w:spacing w:after="80" w:line="276"/>
      </w:pPr>
      <w:r>
        <w:rPr>
          <w:rFonts w:ascii="Calibri" w:cs="Calibri" w:eastAsia="Calibri" w:hAnsi="Calibri"/>
        </w:rPr>
        <w:t xml:space="preserve">Formation des populations avancées : porteurs d'agents (conception, sources, mise en service), équipes qui délèguent des dossiers (brief, relecture, validation).</w:t>
      </w:r>
    </w:p>
    <w:p>
      <w:pPr>
        <w:pStyle w:val="ListParagraph"/>
        <w:numPr>
          <w:ilvl w:val="0"/>
          <w:numId w:val="2"/>
        </w:numPr>
        <w:spacing w:after="80" w:line="276"/>
      </w:pPr>
      <w:r>
        <w:rPr>
          <w:rFonts w:ascii="Calibri" w:cs="Calibri" w:eastAsia="Calibri" w:hAnsi="Calibri"/>
        </w:rPr>
        <w:t xml:space="preserve">Revue de la charte et des règles de données à la lumière de l'année écoulée ; mise à jour de la documentation de conformité.</w:t>
      </w:r>
    </w:p>
    <w:p>
      <w:pPr>
        <w:pStyle w:val="ListParagraph"/>
        <w:numPr>
          <w:ilvl w:val="0"/>
          <w:numId w:val="2"/>
        </w:numPr>
        <w:spacing w:after="80" w:line="276"/>
      </w:pPr>
      <w:r>
        <w:rPr>
          <w:rFonts w:ascii="Calibri" w:cs="Calibri" w:eastAsia="Calibri" w:hAnsi="Calibri"/>
        </w:rPr>
        <w:t xml:space="preserve">Bilan annuel : indicateurs d'usage, de valeur, de qualité et de risque, coûts (licences, formation, temps interne), retour sur investissement, enseignements.</w:t>
      </w:r>
    </w:p>
    <w:p>
      <w:pPr>
        <w:pStyle w:val="ListParagraph"/>
        <w:numPr>
          <w:ilvl w:val="0"/>
          <w:numId w:val="2"/>
        </w:numPr>
        <w:spacing w:after="80" w:line="276"/>
      </w:pPr>
      <w:r>
        <w:rPr>
          <w:rFonts w:ascii="Calibri" w:cs="Calibri" w:eastAsia="Calibri" w:hAnsi="Calibri"/>
        </w:rPr>
        <w:t xml:space="preserve">Feuille de route de l'année 2 : nouveaux périmètres (production, filiales, pays), nouveaux niveaux (agents métiers, automatisations), budget et gouvernance ajustés.</w:t>
      </w:r>
    </w:p>
    <w:p>
      <w:pPr>
        <w:pStyle w:val="Heading3"/>
        <w:keepNext/>
        <w:spacing w:after="100" w:before="220"/>
      </w:pPr>
      <w:r>
        <w:rPr>
          <w:rFonts w:ascii="Calibri" w:cs="Calibri" w:eastAsia="Calibri" w:hAnsi="Calibri"/>
        </w:rPr>
        <w:t xml:space="preserve">Livrables</w:t>
      </w:r>
    </w:p>
    <w:p>
      <w:pPr>
        <w:pStyle w:val="ListParagraph"/>
        <w:numPr>
          <w:ilvl w:val="0"/>
          <w:numId w:val="2"/>
        </w:numPr>
        <w:spacing w:after="80" w:line="276"/>
      </w:pPr>
      <w:r>
        <w:rPr>
          <w:rFonts w:ascii="Calibri" w:cs="Calibri" w:eastAsia="Calibri" w:hAnsi="Calibri"/>
        </w:rPr>
        <w:t xml:space="preserve">Agents et coworks en production, documentés.</w:t>
      </w:r>
    </w:p>
    <w:p>
      <w:pPr>
        <w:pStyle w:val="ListParagraph"/>
        <w:numPr>
          <w:ilvl w:val="0"/>
          <w:numId w:val="2"/>
        </w:numPr>
        <w:spacing w:after="80" w:line="276"/>
      </w:pPr>
      <w:r>
        <w:rPr>
          <w:rFonts w:ascii="Calibri" w:cs="Calibri" w:eastAsia="Calibri" w:hAnsi="Calibri"/>
        </w:rPr>
        <w:t xml:space="preserve">Bilan annuel présenté au comité de direction.</w:t>
      </w:r>
    </w:p>
    <w:p>
      <w:pPr>
        <w:pStyle w:val="ListParagraph"/>
        <w:numPr>
          <w:ilvl w:val="0"/>
          <w:numId w:val="2"/>
        </w:numPr>
        <w:spacing w:after="80" w:line="276"/>
      </w:pPr>
      <w:r>
        <w:rPr>
          <w:rFonts w:ascii="Calibri" w:cs="Calibri" w:eastAsia="Calibri" w:hAnsi="Calibri"/>
        </w:rPr>
        <w:t xml:space="preserve">Charte et règles de données révisées.</w:t>
      </w:r>
    </w:p>
    <w:p>
      <w:pPr>
        <w:pStyle w:val="ListParagraph"/>
        <w:numPr>
          <w:ilvl w:val="0"/>
          <w:numId w:val="2"/>
        </w:numPr>
        <w:spacing w:after="80" w:line="276"/>
      </w:pPr>
      <w:r>
        <w:rPr>
          <w:rFonts w:ascii="Calibri" w:cs="Calibri" w:eastAsia="Calibri" w:hAnsi="Calibri"/>
        </w:rPr>
        <w:t xml:space="preserve">Feuille de route année 2 validée, avec budget.</w:t>
      </w:r>
    </w:p>
    <w:tbl>
      <w:tblPr>
        <w:tblW w:type="dxa" w:w="9638"/>
        <w:tblBorders>
          <w:top w:val="none" w:color="FFFFFF" w:sz="0"/>
          <w:left w:val="none" w:color="FFFFFF" w:sz="0"/>
          <w:bottom w:val="none" w:color="FFFFFF" w:sz="0"/>
          <w:right w:val="none" w:color="FFFFFF" w:sz="0"/>
          <w:insideH w:val="none" w:color="FFFFFF" w:sz="0"/>
          <w:insideV w:val="none" w:color="FFFFFF" w:sz="0"/>
        </w:tblBorders>
      </w:tblPr>
      <w:tblGrid>
        <w:gridCol w:w="9638"/>
      </w:tblGrid>
      <w:tr>
        <w:tc>
          <w:tcPr>
            <w:tcW w:type="dxa" w:w="9638"/>
            <w:tcBorders>
              <w:top w:val="none" w:color="FFFFFF" w:sz="0"/>
              <w:left w:val="single" w:color="1F5FBF" w:sz="24"/>
              <w:bottom w:val="none" w:color="FFFFFF" w:sz="0"/>
              <w:right w:val="none" w:color="FFFFFF" w:sz="0"/>
            </w:tcBorders>
            <w:shd w:fill="EAF1FB" w:color="auto" w:val="clear"/>
            <w:tcMar>
              <w:top w:type="dxa" w:w="140"/>
              <w:left w:type="dxa" w:w="200"/>
              <w:bottom w:type="dxa" w:w="100"/>
              <w:right w:type="dxa" w:w="200"/>
            </w:tcMar>
          </w:tcPr>
          <w:p>
            <w:pPr>
              <w:spacing w:after="80"/>
            </w:pPr>
            <w:r>
              <w:rPr>
                <w:rFonts w:ascii="Calibri" w:cs="Calibri" w:eastAsia="Calibri" w:hAnsi="Calibri"/>
                <w:b/>
                <w:bCs/>
                <w:color w:val="0F2D5E"/>
                <w:sz w:val="21"/>
                <w:szCs w:val="21"/>
              </w:rPr>
              <w:t xml:space="preserve">Les trois arbitrages de fin d'année</w:t>
            </w:r>
          </w:p>
          <w:p>
            <w:pPr>
              <w:spacing w:after="60" w:line="264"/>
            </w:pPr>
            <w:r>
              <w:rPr>
                <w:rFonts w:ascii="Calibri" w:cs="Calibri" w:eastAsia="Calibri" w:hAnsi="Calibri"/>
                <w:b/>
                <w:bCs/>
                <w:sz w:val="20"/>
                <w:szCs w:val="20"/>
              </w:rPr>
              <w:t xml:space="preserve">Arrêter</w:t>
            </w:r>
            <w:r>
              <w:rPr>
                <w:rFonts w:ascii="Calibri" w:cs="Calibri" w:eastAsia="Calibri" w:hAnsi="Calibri"/>
                <w:sz w:val="20"/>
                <w:szCs w:val="20"/>
              </w:rPr>
              <w:t xml:space="preserve"> ce qui n'est pas utilisé : un assistant ou un agent sans usage régulier après trois mois est retiré, sans drame.</w:t>
            </w:r>
          </w:p>
          <w:p>
            <w:pPr>
              <w:spacing w:after="60" w:line="264"/>
            </w:pPr>
            <w:r>
              <w:rPr>
                <w:rFonts w:ascii="Calibri" w:cs="Calibri" w:eastAsia="Calibri" w:hAnsi="Calibri"/>
                <w:b/>
                <w:bCs/>
                <w:sz w:val="20"/>
                <w:szCs w:val="20"/>
              </w:rPr>
              <w:t xml:space="preserve">Maintenir</w:t>
            </w:r>
            <w:r>
              <w:rPr>
                <w:rFonts w:ascii="Calibri" w:cs="Calibri" w:eastAsia="Calibri" w:hAnsi="Calibri"/>
                <w:sz w:val="20"/>
                <w:szCs w:val="20"/>
              </w:rPr>
              <w:t xml:space="preserve"> ce qui rend service à coût constant : la bibliothèque, les rituels, le réseau d'ambassadeurs.</w:t>
            </w:r>
          </w:p>
          <w:p>
            <w:pPr>
              <w:spacing w:after="60" w:line="264"/>
            </w:pPr>
            <w:r>
              <w:rPr>
                <w:rFonts w:ascii="Calibri" w:cs="Calibri" w:eastAsia="Calibri" w:hAnsi="Calibri"/>
                <w:b/>
                <w:bCs/>
                <w:sz w:val="20"/>
                <w:szCs w:val="20"/>
              </w:rPr>
              <w:t xml:space="preserve">Investir</w:t>
            </w:r>
            <w:r>
              <w:rPr>
                <w:rFonts w:ascii="Calibri" w:cs="Calibri" w:eastAsia="Calibri" w:hAnsi="Calibri"/>
                <w:sz w:val="20"/>
                <w:szCs w:val="20"/>
              </w:rPr>
              <w:t xml:space="preserve"> là où la valeur est prouvée : les processus dont le pilote a démontré un gain mesurable méritent un vrai projet en année 2.</w:t>
            </w:r>
          </w:p>
        </w:tc>
      </w:tr>
    </w:tbl>
    <w:p>
      <w:pPr>
        <w:pStyle w:val="Heading1"/>
        <w:pageBreakBefore/>
        <w:spacing w:after="240" w:before="0"/>
      </w:pPr>
      <w:r>
        <w:rPr>
          <w:rFonts w:ascii="Calibri" w:cs="Calibri" w:eastAsia="Calibri" w:hAnsi="Calibri"/>
        </w:rPr>
        <w:t xml:space="preserve">4. Former : le plan de formation par population</w:t>
      </w:r>
    </w:p>
    <w:p>
      <w:pPr>
        <w:spacing w:after="140" w:before="0" w:line="276"/>
      </w:pPr>
      <w:r>
        <w:rPr>
          <w:rFonts w:ascii="Calibri" w:cs="Calibri" w:eastAsia="Calibri" w:hAnsi="Calibri"/>
        </w:rPr>
        <w:t xml:space="preserve">La formation est le levier qui transforme un accès aux outils en usage réel. Elle ne se planifie pas « pour tout le monde » mais par population, avec pour chacune un objectif, un contenu, un format et un moment dans l'année. Cette approche répond aussi à une obligation : depuis le 2 février 2025, l'article 4 du règlement européen sur l'IA (AI Act) demande aux organisations qui déploient des systèmes d'IA de garantir un niveau suffisant de maîtrise de l'IA à leur personnel, proportionné au contexte d'usage. Les autorités nationales disposent de pouvoirs de contrôle à compter du 2 août 2026. Le texte n'impose ni certification ni programme type, mais il est prudent de documenter qui a été formé, à quoi et quand.</w:t>
      </w:r>
    </w:p>
    <w:p>
      <w:pPr>
        <w:pStyle w:val="Heading2"/>
        <w:keepNext/>
        <w:spacing w:after="140" w:before="320"/>
      </w:pPr>
      <w:r>
        <w:rPr>
          <w:rFonts w:ascii="Calibri" w:cs="Calibri" w:eastAsia="Calibri" w:hAnsi="Calibri"/>
        </w:rPr>
        <w:t xml:space="preserve">4.1 Les huit capacités à faire acquérir</w:t>
      </w:r>
    </w:p>
    <w:p>
      <w:pPr>
        <w:spacing w:after="140" w:before="0" w:line="276"/>
      </w:pPr>
      <w:r>
        <w:rPr>
          <w:rFonts w:ascii="Calibri" w:cs="Calibri" w:eastAsia="Calibri" w:hAnsi="Calibri"/>
        </w:rPr>
        <w:t xml:space="preserve">Plutôt que de former « à ChatGPT » ou « à Copilot », nous recommandons de former à des capacités transférables d'un outil à l'autre. Huit capacités couvrent l'essentiel des usages professionnels ; chaque population en travaille un sous-ensemble.</w:t>
      </w:r>
    </w:p>
    <w:tbl>
      <w:tblPr>
        <w:tblW w:type="dxa" w:w="9638"/>
        <w:tblBorders>
          <w:top w:val="single" w:color="C9D3E0" w:sz="4"/>
          <w:left w:val="single" w:color="C9D3E0" w:sz="4"/>
          <w:bottom w:val="single" w:color="C9D3E0" w:sz="4"/>
          <w:right w:val="single" w:color="C9D3E0" w:sz="4"/>
          <w:insideH w:val="single" w:color="C9D3E0" w:sz="4"/>
          <w:insideV w:val="single" w:color="C9D3E0" w:sz="4"/>
        </w:tblBorders>
      </w:tblPr>
      <w:tblGrid>
        <w:gridCol w:w="2120"/>
        <w:gridCol w:w="7518"/>
      </w:tblGrid>
      <w:tr>
        <w:trPr>
          <w:cantSplit/>
          <w:tblHeader/>
        </w:trPr>
        <w:tc>
          <w:tcPr>
            <w:tcW w:type="dxa" w:w="2120"/>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Capacité</w:t>
            </w:r>
          </w:p>
        </w:tc>
        <w:tc>
          <w:tcPr>
            <w:tcW w:type="dxa" w:w="7518"/>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Ce que le collaborateur sait faire à l'issue de la formation</w:t>
            </w:r>
          </w:p>
        </w:tc>
      </w:tr>
      <w:tr>
        <w:trPr>
          <w:cantSplit/>
          <w:tblHeader w:val="false"/>
        </w:trPr>
        <w:tc>
          <w:tcPr>
            <w:tcW w:type="dxa" w:w="2120"/>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Rechercher</w:t>
            </w:r>
          </w:p>
        </w:tc>
        <w:tc>
          <w:tcPr>
            <w:tcW w:type="dxa" w:w="7518"/>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Interroger l'IA et les sources internes avec des questions précises, vérifier et sourcer les réponses, repérer les erreurs.</w:t>
            </w:r>
          </w:p>
        </w:tc>
      </w:tr>
      <w:tr>
        <w:trPr>
          <w:cantSplit/>
          <w:tblHeader w:val="false"/>
        </w:trPr>
        <w:tc>
          <w:tcPr>
            <w:tcW w:type="dxa" w:w="2120"/>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Rédiger</w:t>
            </w:r>
          </w:p>
        </w:tc>
        <w:tc>
          <w:tcPr>
            <w:tcW w:type="dxa" w:w="7518"/>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Produire emails, notes, comptes rendus et documents structurés à partir d'un brief, dans le ton et le format attendus.</w:t>
            </w:r>
          </w:p>
        </w:tc>
      </w:tr>
      <w:tr>
        <w:trPr>
          <w:cantSplit/>
          <w:tblHeader w:val="false"/>
        </w:trPr>
        <w:tc>
          <w:tcPr>
            <w:tcW w:type="dxa" w:w="2120"/>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Synthétiser</w:t>
            </w:r>
          </w:p>
        </w:tc>
        <w:tc>
          <w:tcPr>
            <w:tcW w:type="dxa" w:w="7518"/>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Résumer des documents longs, des échanges et des réunions en gardant l'essentiel et les décisions.</w:t>
            </w:r>
          </w:p>
        </w:tc>
      </w:tr>
      <w:tr>
        <w:trPr>
          <w:cantSplit/>
          <w:tblHeader w:val="false"/>
        </w:trPr>
        <w:tc>
          <w:tcPr>
            <w:tcW w:type="dxa" w:w="2120"/>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Analyser</w:t>
            </w:r>
          </w:p>
        </w:tc>
        <w:tc>
          <w:tcPr>
            <w:tcW w:type="dxa" w:w="7518"/>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Faire parler des données, des tableaux et des verbatims, formuler des hypothèses, préparer une décision.</w:t>
            </w:r>
          </w:p>
        </w:tc>
      </w:tr>
      <w:tr>
        <w:trPr>
          <w:cantSplit/>
          <w:tblHeader w:val="false"/>
        </w:trPr>
        <w:tc>
          <w:tcPr>
            <w:tcW w:type="dxa" w:w="2120"/>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Designer</w:t>
            </w:r>
          </w:p>
        </w:tc>
        <w:tc>
          <w:tcPr>
            <w:tcW w:type="dxa" w:w="7518"/>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Produire des supports visuels, des présentations et des schémas cohérents avec la charte de l'organisation.</w:t>
            </w:r>
          </w:p>
        </w:tc>
      </w:tr>
      <w:tr>
        <w:trPr>
          <w:cantSplit/>
          <w:tblHeader w:val="false"/>
        </w:trPr>
        <w:tc>
          <w:tcPr>
            <w:tcW w:type="dxa" w:w="2120"/>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Brainstormer</w:t>
            </w:r>
          </w:p>
        </w:tc>
        <w:tc>
          <w:tcPr>
            <w:tcW w:type="dxa" w:w="7518"/>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Utiliser l'IA comme partenaire de réflexion pour explorer des options, des scénarios et des objections.</w:t>
            </w:r>
          </w:p>
        </w:tc>
      </w:tr>
      <w:tr>
        <w:trPr>
          <w:cantSplit/>
          <w:tblHeader w:val="false"/>
        </w:trPr>
        <w:tc>
          <w:tcPr>
            <w:tcW w:type="dxa" w:w="2120"/>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Coacher</w:t>
            </w:r>
          </w:p>
        </w:tc>
        <w:tc>
          <w:tcPr>
            <w:tcW w:type="dxa" w:w="7518"/>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Se préparer à un entretien, une négociation ou une prise de parole, et obtenir un feedback structuré.</w:t>
            </w:r>
          </w:p>
        </w:tc>
      </w:tr>
      <w:tr>
        <w:trPr>
          <w:cantSplit/>
          <w:tblHeader w:val="false"/>
        </w:trPr>
        <w:tc>
          <w:tcPr>
            <w:tcW w:type="dxa" w:w="2120"/>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Coder</w:t>
            </w:r>
          </w:p>
        </w:tc>
        <w:tc>
          <w:tcPr>
            <w:tcW w:type="dxa" w:w="7518"/>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Pour les non-développeurs : automatiser une tâche simple, créer un script ou une formule, comprendre un code existant.</w:t>
            </w:r>
          </w:p>
        </w:tc>
      </w:tr>
    </w:tbl>
    <w:p>
      <w:pPr>
        <w:spacing w:after="120"/>
      </w:pPr>
    </w:p>
    <w:p>
      <w:pPr>
        <w:pStyle w:val="Heading2"/>
        <w:keepNext/>
        <w:spacing w:after="140" w:before="320"/>
      </w:pPr>
      <w:r>
        <w:rPr>
          <w:rFonts w:ascii="Calibri" w:cs="Calibri" w:eastAsia="Calibri" w:hAnsi="Calibri"/>
        </w:rPr>
        <w:t xml:space="preserve">4.2 Le plan par population</w:t>
      </w:r>
    </w:p>
    <w:tbl>
      <w:tblPr>
        <w:tblW w:type="dxa" w:w="9638"/>
        <w:tblBorders>
          <w:top w:val="single" w:color="C9D3E0" w:sz="4"/>
          <w:left w:val="single" w:color="C9D3E0" w:sz="4"/>
          <w:bottom w:val="single" w:color="C9D3E0" w:sz="4"/>
          <w:right w:val="single" w:color="C9D3E0" w:sz="4"/>
          <w:insideH w:val="single" w:color="C9D3E0" w:sz="4"/>
          <w:insideV w:val="single" w:color="C9D3E0" w:sz="4"/>
        </w:tblBorders>
      </w:tblPr>
      <w:tblGrid>
        <w:gridCol w:w="1735"/>
        <w:gridCol w:w="2506"/>
        <w:gridCol w:w="2120"/>
        <w:gridCol w:w="1735"/>
        <w:gridCol w:w="1542"/>
      </w:tblGrid>
      <w:tr>
        <w:trPr>
          <w:cantSplit/>
          <w:tblHeader/>
        </w:trPr>
        <w:tc>
          <w:tcPr>
            <w:tcW w:type="dxa" w:w="1735"/>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Population</w:t>
            </w:r>
          </w:p>
        </w:tc>
        <w:tc>
          <w:tcPr>
            <w:tcW w:type="dxa" w:w="2506"/>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Objectif de formation</w:t>
            </w:r>
          </w:p>
        </w:tc>
        <w:tc>
          <w:tcPr>
            <w:tcW w:type="dxa" w:w="2120"/>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Format recommandé</w:t>
            </w:r>
          </w:p>
        </w:tc>
        <w:tc>
          <w:tcPr>
            <w:tcW w:type="dxa" w:w="1735"/>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Capacités</w:t>
            </w:r>
          </w:p>
        </w:tc>
        <w:tc>
          <w:tcPr>
            <w:tcW w:type="dxa" w:w="1542"/>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Quand</w:t>
            </w:r>
          </w:p>
        </w:tc>
      </w:tr>
      <w:tr>
        <w:trPr>
          <w:cantSplit/>
          <w:tblHeader w:val="false"/>
        </w:trPr>
        <w:tc>
          <w:tcPr>
            <w:tcW w:type="dxa" w:w="1735"/>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Comité de direction</w:t>
            </w:r>
          </w:p>
        </w:tc>
        <w:tc>
          <w:tcPr>
            <w:tcW w:type="dxa" w:w="2506"/>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Comprendre les enjeux, fixer l'ambition, tenir un discours cohérent, pratiquer soi-même.</w:t>
            </w:r>
          </w:p>
        </w:tc>
        <w:tc>
          <w:tcPr>
            <w:tcW w:type="dxa" w:w="2120"/>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Conférence ou atelier de 1 h 30 à une demi-journée, avec pratique sur leurs propres cas.</w:t>
            </w:r>
          </w:p>
        </w:tc>
        <w:tc>
          <w:tcPr>
            <w:tcW w:type="dxa" w:w="1735"/>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Synthétiser, brainstormer, coacher</w:t>
            </w:r>
          </w:p>
        </w:tc>
        <w:tc>
          <w:tcPr>
            <w:tcW w:type="dxa" w:w="1542"/>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T1</w:t>
            </w:r>
          </w:p>
        </w:tc>
      </w:tr>
      <w:tr>
        <w:trPr>
          <w:cantSplit/>
          <w:tblHeader w:val="false"/>
        </w:trPr>
        <w:tc>
          <w:tcPr>
            <w:tcW w:type="dxa" w:w="1735"/>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Référent IA</w:t>
            </w:r>
          </w:p>
        </w:tc>
        <w:tc>
          <w:tcPr>
            <w:tcW w:type="dxa" w:w="2506"/>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Piloter la démarche, maîtriser les quatre niveaux, cadrer des pilotes, mesurer.</w:t>
            </w:r>
          </w:p>
        </w:tc>
        <w:tc>
          <w:tcPr>
            <w:tcW w:type="dxa" w:w="2120"/>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Parcours dédié sur 2 à 3 jours répartis sur le semestre, plus un accompagnement conseil.</w:t>
            </w:r>
          </w:p>
        </w:tc>
        <w:tc>
          <w:tcPr>
            <w:tcW w:type="dxa" w:w="1735"/>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Les huit</w:t>
            </w:r>
          </w:p>
        </w:tc>
        <w:tc>
          <w:tcPr>
            <w:tcW w:type="dxa" w:w="1542"/>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T1 et T2</w:t>
            </w:r>
          </w:p>
        </w:tc>
      </w:tr>
      <w:tr>
        <w:trPr>
          <w:cantSplit/>
          <w:tblHeader w:val="false"/>
        </w:trPr>
        <w:tc>
          <w:tcPr>
            <w:tcW w:type="dxa" w:w="1735"/>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Ambassadeurs</w:t>
            </w:r>
          </w:p>
        </w:tc>
        <w:tc>
          <w:tcPr>
            <w:tcW w:type="dxa" w:w="2506"/>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Devenir premiers utilisateurs, aider leurs collègues, remonter les cas d'usage.</w:t>
            </w:r>
          </w:p>
        </w:tc>
        <w:tc>
          <w:tcPr>
            <w:tcW w:type="dxa" w:w="2120"/>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Une journée de formation approfondie, puis un rendez-vous mensuel d'une heure.</w:t>
            </w:r>
          </w:p>
        </w:tc>
        <w:tc>
          <w:tcPr>
            <w:tcW w:type="dxa" w:w="1735"/>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Les huit, avec accent sur leur métier</w:t>
            </w:r>
          </w:p>
        </w:tc>
        <w:tc>
          <w:tcPr>
            <w:tcW w:type="dxa" w:w="1542"/>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T1, puis mensuel</w:t>
            </w:r>
          </w:p>
        </w:tc>
      </w:tr>
      <w:tr>
        <w:trPr>
          <w:cantSplit/>
          <w:tblHeader w:val="false"/>
        </w:trPr>
        <w:tc>
          <w:tcPr>
            <w:tcW w:type="dxa" w:w="1735"/>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Managers</w:t>
            </w:r>
          </w:p>
        </w:tc>
        <w:tc>
          <w:tcPr>
            <w:tcW w:type="dxa" w:w="2506"/>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Embarquer leur équipe, repérer les cas d'usage, encadrer les usages, gérer les inquiétudes.</w:t>
            </w:r>
          </w:p>
        </w:tc>
        <w:tc>
          <w:tcPr>
            <w:tcW w:type="dxa" w:w="2120"/>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Une demi-journée : pratique sur leurs cas de manager, puis conduite du changement.</w:t>
            </w:r>
          </w:p>
        </w:tc>
        <w:tc>
          <w:tcPr>
            <w:tcW w:type="dxa" w:w="1735"/>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Rédiger, synthétiser, coacher, brainstormer</w:t>
            </w:r>
          </w:p>
        </w:tc>
        <w:tc>
          <w:tcPr>
            <w:tcW w:type="dxa" w:w="1542"/>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T2</w:t>
            </w:r>
          </w:p>
        </w:tc>
      </w:tr>
      <w:tr>
        <w:trPr>
          <w:cantSplit/>
          <w:tblHeader w:val="false"/>
        </w:trPr>
        <w:tc>
          <w:tcPr>
            <w:tcW w:type="dxa" w:w="1735"/>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Collaborateurs par métier</w:t>
            </w:r>
          </w:p>
        </w:tc>
        <w:tc>
          <w:tcPr>
            <w:tcW w:type="dxa" w:w="2506"/>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Utiliser l'outil de référence au quotidien sur les cas d'usage de leur métier.</w:t>
            </w:r>
          </w:p>
        </w:tc>
        <w:tc>
          <w:tcPr>
            <w:tcW w:type="dxa" w:w="2120"/>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Session pratique de 2 h à une journée par métier, en petits groupes, avec engagement de sortie.</w:t>
            </w:r>
          </w:p>
        </w:tc>
        <w:tc>
          <w:tcPr>
            <w:tcW w:type="dxa" w:w="1735"/>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Trois à cinq capacités selon le métier</w:t>
            </w:r>
          </w:p>
        </w:tc>
        <w:tc>
          <w:tcPr>
            <w:tcW w:type="dxa" w:w="1542"/>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T1 (volontaires), T3 (tous)</w:t>
            </w:r>
          </w:p>
        </w:tc>
      </w:tr>
      <w:tr>
        <w:trPr>
          <w:cantSplit/>
          <w:tblHeader w:val="false"/>
        </w:trPr>
        <w:tc>
          <w:tcPr>
            <w:tcW w:type="dxa" w:w="1735"/>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Porteurs d'agents et de coworks</w:t>
            </w:r>
          </w:p>
        </w:tc>
        <w:tc>
          <w:tcPr>
            <w:tcW w:type="dxa" w:w="2506"/>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Concevoir, mettre en service et superviser un agent ou un dossier délégué.</w:t>
            </w:r>
          </w:p>
        </w:tc>
        <w:tc>
          <w:tcPr>
            <w:tcW w:type="dxa" w:w="2120"/>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Sprint de 2 à 3 jours sur un cas réel, avec livrable en production.</w:t>
            </w:r>
          </w:p>
        </w:tc>
        <w:tc>
          <w:tcPr>
            <w:tcW w:type="dxa" w:w="1735"/>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Analyser, coder, plus conception d'agents</w:t>
            </w:r>
          </w:p>
        </w:tc>
        <w:tc>
          <w:tcPr>
            <w:tcW w:type="dxa" w:w="1542"/>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T4</w:t>
            </w:r>
          </w:p>
        </w:tc>
      </w:tr>
      <w:tr>
        <w:trPr>
          <w:cantSplit/>
          <w:tblHeader w:val="false"/>
        </w:trPr>
        <w:tc>
          <w:tcPr>
            <w:tcW w:type="dxa" w:w="1735"/>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IT, sécurité, données</w:t>
            </w:r>
          </w:p>
        </w:tc>
        <w:tc>
          <w:tcPr>
            <w:tcW w:type="dxa" w:w="2506"/>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Administrer les outils, évaluer les risques, accompagner les porteurs de projets.</w:t>
            </w:r>
          </w:p>
        </w:tc>
        <w:tc>
          <w:tcPr>
            <w:tcW w:type="dxa" w:w="2120"/>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Formation technique dédiée avec l'éditeur et atelier d'analyse de risques.</w:t>
            </w:r>
          </w:p>
        </w:tc>
        <w:tc>
          <w:tcPr>
            <w:tcW w:type="dxa" w:w="1735"/>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Rechercher, analyser, coder</w:t>
            </w:r>
          </w:p>
        </w:tc>
        <w:tc>
          <w:tcPr>
            <w:tcW w:type="dxa" w:w="1542"/>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T1 et T4</w:t>
            </w:r>
          </w:p>
        </w:tc>
      </w:tr>
    </w:tbl>
    <w:p>
      <w:pPr>
        <w:spacing w:after="120"/>
      </w:pPr>
    </w:p>
    <w:p>
      <w:pPr>
        <w:pStyle w:val="Heading2"/>
        <w:keepNext/>
        <w:spacing w:after="140" w:before="320"/>
      </w:pPr>
      <w:r>
        <w:rPr>
          <w:rFonts w:ascii="Calibri" w:cs="Calibri" w:eastAsia="Calibri" w:hAnsi="Calibri"/>
        </w:rPr>
        <w:t xml:space="preserve">4.3 Choisir les formats</w:t>
      </w:r>
    </w:p>
    <w:p>
      <w:pPr>
        <w:spacing w:after="140" w:before="0" w:line="276"/>
      </w:pPr>
      <w:r>
        <w:rPr>
          <w:rFonts w:ascii="Calibri" w:cs="Calibri" w:eastAsia="Calibri" w:hAnsi="Calibri"/>
        </w:rPr>
        <w:t xml:space="preserve">Le bon format dépend de la population et du moment. Les repères ci-dessous correspondent à ce que nous pratiquons et mesurons dans les grandes organisations.</w:t>
      </w:r>
    </w:p>
    <w:tbl>
      <w:tblPr>
        <w:tblW w:type="dxa" w:w="9638"/>
        <w:tblBorders>
          <w:top w:val="single" w:color="C9D3E0" w:sz="4"/>
          <w:left w:val="single" w:color="C9D3E0" w:sz="4"/>
          <w:bottom w:val="single" w:color="C9D3E0" w:sz="4"/>
          <w:right w:val="single" w:color="C9D3E0" w:sz="4"/>
          <w:insideH w:val="single" w:color="C9D3E0" w:sz="4"/>
          <w:insideV w:val="single" w:color="C9D3E0" w:sz="4"/>
        </w:tblBorders>
      </w:tblPr>
      <w:tblGrid>
        <w:gridCol w:w="2506"/>
        <w:gridCol w:w="3566"/>
        <w:gridCol w:w="3566"/>
      </w:tblGrid>
      <w:tr>
        <w:trPr>
          <w:cantSplit/>
          <w:tblHeader/>
        </w:trPr>
        <w:tc>
          <w:tcPr>
            <w:tcW w:type="dxa" w:w="2506"/>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Format</w:t>
            </w:r>
          </w:p>
        </w:tc>
        <w:tc>
          <w:tcPr>
            <w:tcW w:type="dxa" w:w="3566"/>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Ce qu'il permet</w:t>
            </w:r>
          </w:p>
        </w:tc>
        <w:tc>
          <w:tcPr>
            <w:tcW w:type="dxa" w:w="3566"/>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Limites</w:t>
            </w:r>
          </w:p>
        </w:tc>
      </w:tr>
      <w:tr>
        <w:trPr>
          <w:cantSplit/>
          <w:tblHeader w:val="false"/>
        </w:trPr>
        <w:tc>
          <w:tcPr>
            <w:tcW w:type="dxa" w:w="2506"/>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Session courte (1 h à 2 h)</w:t>
            </w:r>
          </w:p>
        </w:tc>
        <w:tc>
          <w:tcPr>
            <w:tcW w:type="dxa" w:w="3566"/>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Donner envie, montrer les meilleurs cas d'usage d'un métier, lever les craintes. Idéal en ouverture et en rappel.</w:t>
            </w:r>
          </w:p>
        </w:tc>
        <w:tc>
          <w:tcPr>
            <w:tcW w:type="dxa" w:w="3566"/>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Ne suffit pas pour installer une pratique : à compléter par de la pratique accompagnée.</w:t>
            </w:r>
          </w:p>
        </w:tc>
      </w:tr>
      <w:tr>
        <w:trPr>
          <w:cantSplit/>
          <w:tblHeader w:val="false"/>
        </w:trPr>
        <w:tc>
          <w:tcPr>
            <w:tcW w:type="dxa" w:w="2506"/>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Atelier pratique (demi-journée à journée)</w:t>
            </w:r>
          </w:p>
        </w:tc>
        <w:tc>
          <w:tcPr>
            <w:tcW w:type="dxa" w:w="3566"/>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Installer les gestes sur les vrais cas des participants, produire des livrables réutilisables, engager chacun.</w:t>
            </w:r>
          </w:p>
        </w:tc>
        <w:tc>
          <w:tcPr>
            <w:tcW w:type="dxa" w:w="3566"/>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Douze participants au maximum pour que chacun pratique ; nécessite des licences ouvertes avant la session.</w:t>
            </w:r>
          </w:p>
        </w:tc>
      </w:tr>
      <w:tr>
        <w:trPr>
          <w:cantSplit/>
          <w:tblHeader w:val="false"/>
        </w:trPr>
        <w:tc>
          <w:tcPr>
            <w:tcW w:type="dxa" w:w="2506"/>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Sprint (2 à 3 jours)</w:t>
            </w:r>
          </w:p>
        </w:tc>
        <w:tc>
          <w:tcPr>
            <w:tcW w:type="dxa" w:w="3566"/>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Concevoir et livrer un assistant, un agent ou un cowork en production, en équipe.</w:t>
            </w:r>
          </w:p>
        </w:tc>
        <w:tc>
          <w:tcPr>
            <w:tcW w:type="dxa" w:w="3566"/>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Réservé à des porteurs identifiés avec un cas réel et des données accessibles.</w:t>
            </w:r>
          </w:p>
        </w:tc>
      </w:tr>
      <w:tr>
        <w:trPr>
          <w:cantSplit/>
          <w:tblHeader w:val="false"/>
        </w:trPr>
        <w:tc>
          <w:tcPr>
            <w:tcW w:type="dxa" w:w="2506"/>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Parcours asynchrone</w:t>
            </w:r>
          </w:p>
        </w:tc>
        <w:tc>
          <w:tcPr>
            <w:tcW w:type="dxa" w:w="3566"/>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Assurer le socle commun (charte, règles, prise en main) à grande échelle et tracer les attestations.</w:t>
            </w:r>
          </w:p>
        </w:tc>
        <w:tc>
          <w:tcPr>
            <w:tcW w:type="dxa" w:w="3566"/>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Faible taux d'achèvement s'il n'est pas relié à un temps collectif ; à utiliser comme prérequis, pas comme formation principale.</w:t>
            </w:r>
          </w:p>
        </w:tc>
      </w:tr>
      <w:tr>
        <w:trPr>
          <w:cantSplit/>
          <w:tblHeader w:val="false"/>
        </w:trPr>
        <w:tc>
          <w:tcPr>
            <w:tcW w:type="dxa" w:w="2506"/>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Rendez-vous mensuels</w:t>
            </w:r>
          </w:p>
        </w:tc>
        <w:tc>
          <w:tcPr>
            <w:tcW w:type="dxa" w:w="3566"/>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Faire vivre la pratique : partage de cas d'usage, nouveautés des outils, questions ouvertes.</w:t>
            </w:r>
          </w:p>
        </w:tc>
        <w:tc>
          <w:tcPr>
            <w:tcW w:type="dxa" w:w="3566"/>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S'essoufflent sans animateur identifié et sans contenu préparé.</w:t>
            </w:r>
          </w:p>
        </w:tc>
      </w:tr>
    </w:tbl>
    <w:p>
      <w:pPr>
        <w:spacing w:after="120"/>
      </w:pPr>
    </w:p>
    <w:p>
      <w:pPr>
        <w:pStyle w:val="Heading2"/>
        <w:keepNext/>
        <w:spacing w:after="140" w:before="320"/>
      </w:pPr>
      <w:r>
        <w:rPr>
          <w:rFonts w:ascii="Calibri" w:cs="Calibri" w:eastAsia="Calibri" w:hAnsi="Calibri"/>
        </w:rPr>
        <w:t xml:space="preserve">4.4 Documenter pour être conforme</w:t>
      </w:r>
    </w:p>
    <w:p>
      <w:pPr>
        <w:spacing w:after="140" w:before="0" w:line="276"/>
      </w:pPr>
      <w:r>
        <w:rPr>
          <w:rFonts w:ascii="Calibri" w:cs="Calibri" w:eastAsia="Calibri" w:hAnsi="Calibri"/>
        </w:rPr>
        <w:t xml:space="preserve">Un registre de formation simple suffit en année 1. Il doit permettre de répondre en quelques minutes à la question : « qui a été formé, à quoi, quand, par qui ? »</w:t>
      </w:r>
    </w:p>
    <w:p>
      <w:pPr>
        <w:spacing w:after="80" w:line="276"/>
        <w:ind w:left="360" w:hanging="360"/>
      </w:pPr>
      <w:r>
        <w:rPr>
          <w:rFonts w:ascii="Segoe UI Symbol" w:cs="Segoe UI Symbol" w:eastAsia="Segoe UI Symbol" w:hAnsi="Segoe UI Symbol"/>
          <w:sz w:val="22"/>
          <w:szCs w:val="22"/>
        </w:rPr>
        <w:t xml:space="preserve">☐  </w:t>
      </w:r>
      <w:r>
        <w:rPr>
          <w:rFonts w:ascii="Calibri" w:cs="Calibri" w:eastAsia="Calibri" w:hAnsi="Calibri"/>
        </w:rPr>
        <w:t xml:space="preserve">Liste nominative des participants par session, avec la population et la direction.</w:t>
      </w:r>
    </w:p>
    <w:p>
      <w:pPr>
        <w:spacing w:after="80" w:line="276"/>
        <w:ind w:left="360" w:hanging="360"/>
      </w:pPr>
      <w:r>
        <w:rPr>
          <w:rFonts w:ascii="Segoe UI Symbol" w:cs="Segoe UI Symbol" w:eastAsia="Segoe UI Symbol" w:hAnsi="Segoe UI Symbol"/>
          <w:sz w:val="22"/>
          <w:szCs w:val="22"/>
        </w:rPr>
        <w:t xml:space="preserve">☐  </w:t>
      </w:r>
      <w:r>
        <w:rPr>
          <w:rFonts w:ascii="Calibri" w:cs="Calibri" w:eastAsia="Calibri" w:hAnsi="Calibri"/>
        </w:rPr>
        <w:t xml:space="preserve">Contenu de chaque session : objectifs, capacités travaillées, outils, durée.</w:t>
      </w:r>
    </w:p>
    <w:p>
      <w:pPr>
        <w:spacing w:after="80" w:line="276"/>
        <w:ind w:left="360" w:hanging="360"/>
      </w:pPr>
      <w:r>
        <w:rPr>
          <w:rFonts w:ascii="Segoe UI Symbol" w:cs="Segoe UI Symbol" w:eastAsia="Segoe UI Symbol" w:hAnsi="Segoe UI Symbol"/>
          <w:sz w:val="22"/>
          <w:szCs w:val="22"/>
        </w:rPr>
        <w:t xml:space="preserve">☐  </w:t>
      </w:r>
      <w:r>
        <w:rPr>
          <w:rFonts w:ascii="Calibri" w:cs="Calibri" w:eastAsia="Calibri" w:hAnsi="Calibri"/>
        </w:rPr>
        <w:t xml:space="preserve">Attestations ou traces de complétion pour le parcours d'entrée asynchrone.</w:t>
      </w:r>
    </w:p>
    <w:p>
      <w:pPr>
        <w:spacing w:after="80" w:line="276"/>
        <w:ind w:left="360" w:hanging="360"/>
      </w:pPr>
      <w:r>
        <w:rPr>
          <w:rFonts w:ascii="Segoe UI Symbol" w:cs="Segoe UI Symbol" w:eastAsia="Segoe UI Symbol" w:hAnsi="Segoe UI Symbol"/>
          <w:sz w:val="22"/>
          <w:szCs w:val="22"/>
        </w:rPr>
        <w:t xml:space="preserve">☐  </w:t>
      </w:r>
      <w:r>
        <w:rPr>
          <w:rFonts w:ascii="Calibri" w:cs="Calibri" w:eastAsia="Calibri" w:hAnsi="Calibri"/>
        </w:rPr>
        <w:t xml:space="preserve">Date de lecture de la charte par chaque collaborateur (case à cocher dans l'outil ou signature).</w:t>
      </w:r>
    </w:p>
    <w:p>
      <w:pPr>
        <w:spacing w:after="80" w:line="276"/>
        <w:ind w:left="360" w:hanging="360"/>
      </w:pPr>
      <w:r>
        <w:rPr>
          <w:rFonts w:ascii="Segoe UI Symbol" w:cs="Segoe UI Symbol" w:eastAsia="Segoe UI Symbol" w:hAnsi="Segoe UI Symbol"/>
          <w:sz w:val="22"/>
          <w:szCs w:val="22"/>
        </w:rPr>
        <w:t xml:space="preserve">☐  </w:t>
      </w:r>
      <w:r>
        <w:rPr>
          <w:rFonts w:ascii="Calibri" w:cs="Calibri" w:eastAsia="Calibri" w:hAnsi="Calibri"/>
        </w:rPr>
        <w:t xml:space="preserve">Plan de formation de l'année, révisé au trimestre 4, conservé avec les précédents.</w:t>
      </w:r>
    </w:p>
    <w:tbl>
      <w:tblPr>
        <w:tblW w:type="dxa" w:w="9638"/>
        <w:tblBorders>
          <w:top w:val="none" w:color="FFFFFF" w:sz="0"/>
          <w:left w:val="none" w:color="FFFFFF" w:sz="0"/>
          <w:bottom w:val="none" w:color="FFFFFF" w:sz="0"/>
          <w:right w:val="none" w:color="FFFFFF" w:sz="0"/>
          <w:insideH w:val="none" w:color="FFFFFF" w:sz="0"/>
          <w:insideV w:val="none" w:color="FFFFFF" w:sz="0"/>
        </w:tblBorders>
      </w:tblPr>
      <w:tblGrid>
        <w:gridCol w:w="9638"/>
      </w:tblGrid>
      <w:tr>
        <w:tc>
          <w:tcPr>
            <w:tcW w:type="dxa" w:w="9638"/>
            <w:tcBorders>
              <w:top w:val="none" w:color="FFFFFF" w:sz="0"/>
              <w:left w:val="single" w:color="1F5FBF" w:sz="24"/>
              <w:bottom w:val="none" w:color="FFFFFF" w:sz="0"/>
              <w:right w:val="none" w:color="FFFFFF" w:sz="0"/>
            </w:tcBorders>
            <w:shd w:fill="EAF1FB" w:color="auto" w:val="clear"/>
            <w:tcMar>
              <w:top w:type="dxa" w:w="140"/>
              <w:left w:type="dxa" w:w="200"/>
              <w:bottom w:type="dxa" w:w="100"/>
              <w:right w:type="dxa" w:w="200"/>
            </w:tcMar>
          </w:tcPr>
          <w:p>
            <w:pPr>
              <w:spacing w:after="80"/>
            </w:pPr>
            <w:r>
              <w:rPr>
                <w:rFonts w:ascii="Calibri" w:cs="Calibri" w:eastAsia="Calibri" w:hAnsi="Calibri"/>
                <w:b/>
                <w:bCs/>
                <w:color w:val="0F2D5E"/>
                <w:sz w:val="21"/>
                <w:szCs w:val="21"/>
              </w:rPr>
              <w:t xml:space="preserve">Zone de décision</w:t>
            </w:r>
          </w:p>
          <w:p>
            <w:pPr>
              <w:spacing w:after="60" w:line="264"/>
            </w:pPr>
            <w:r>
              <w:rPr>
                <w:rFonts w:ascii="Calibri" w:cs="Calibri" w:eastAsia="Calibri" w:hAnsi="Calibri"/>
                <w:sz w:val="20"/>
                <w:szCs w:val="20"/>
              </w:rPr>
              <w:t xml:space="preserve">Populations prioritaires du trimestre 1 : ______________________________________</w:t>
            </w:r>
          </w:p>
          <w:p>
            <w:pPr>
              <w:spacing w:after="60" w:line="264"/>
            </w:pPr>
            <w:r>
              <w:rPr>
                <w:rFonts w:ascii="Calibri" w:cs="Calibri" w:eastAsia="Calibri" w:hAnsi="Calibri"/>
                <w:sz w:val="20"/>
                <w:szCs w:val="20"/>
              </w:rPr>
              <w:t xml:space="preserve">Volume de sessions prévu sur l'année : ________   Budget formation retenu : ________</w:t>
            </w:r>
          </w:p>
          <w:p>
            <w:pPr>
              <w:spacing w:after="60" w:line="264"/>
            </w:pPr>
            <w:r>
              <w:rPr>
                <w:rFonts w:ascii="Calibri" w:cs="Calibri" w:eastAsia="Calibri" w:hAnsi="Calibri"/>
                <w:sz w:val="20"/>
                <w:szCs w:val="20"/>
              </w:rPr>
              <w:t xml:space="preserve">Responsable du registre de formation : ______________________</w:t>
            </w:r>
          </w:p>
        </w:tc>
      </w:tr>
    </w:tbl>
    <w:p>
      <w:pPr>
        <w:pStyle w:val="Heading1"/>
        <w:pageBreakBefore/>
        <w:spacing w:after="240" w:before="0"/>
      </w:pPr>
      <w:r>
        <w:rPr>
          <w:rFonts w:ascii="Calibri" w:cs="Calibri" w:eastAsia="Calibri" w:hAnsi="Calibri"/>
        </w:rPr>
        <w:t xml:space="preserve">5. Piloter et mesurer</w:t>
      </w:r>
    </w:p>
    <w:p>
      <w:pPr>
        <w:spacing w:after="140" w:before="0" w:line="276"/>
      </w:pPr>
      <w:r>
        <w:rPr>
          <w:rFonts w:ascii="Calibri" w:cs="Calibri" w:eastAsia="Calibri" w:hAnsi="Calibri"/>
        </w:rPr>
        <w:t xml:space="preserve">Une feuille de route se pilote avec peu d'indicateurs, suivis régulièrement, et des rituels courts qui décident. Cette partie propose un tableau de bord en quatre familles et deux rituels, ainsi que la manière de mesurer la valeur sans se perdre dans des calculs contestables.</w:t>
      </w:r>
    </w:p>
    <w:p>
      <w:pPr>
        <w:pStyle w:val="Heading2"/>
        <w:keepNext/>
        <w:spacing w:after="140" w:before="320"/>
      </w:pPr>
      <w:r>
        <w:rPr>
          <w:rFonts w:ascii="Calibri" w:cs="Calibri" w:eastAsia="Calibri" w:hAnsi="Calibri"/>
        </w:rPr>
        <w:t xml:space="preserve">5.1 Le tableau de bord en quatre familles</w:t>
      </w:r>
    </w:p>
    <w:tbl>
      <w:tblPr>
        <w:tblW w:type="dxa" w:w="9638"/>
        <w:tblBorders>
          <w:top w:val="single" w:color="C9D3E0" w:sz="4"/>
          <w:left w:val="single" w:color="C9D3E0" w:sz="4"/>
          <w:bottom w:val="single" w:color="C9D3E0" w:sz="4"/>
          <w:right w:val="single" w:color="C9D3E0" w:sz="4"/>
          <w:insideH w:val="single" w:color="C9D3E0" w:sz="4"/>
          <w:insideV w:val="single" w:color="C9D3E0" w:sz="4"/>
        </w:tblBorders>
      </w:tblPr>
      <w:tblGrid>
        <w:gridCol w:w="1735"/>
        <w:gridCol w:w="4241"/>
        <w:gridCol w:w="3662"/>
      </w:tblGrid>
      <w:tr>
        <w:trPr>
          <w:cantSplit/>
          <w:tblHeader/>
        </w:trPr>
        <w:tc>
          <w:tcPr>
            <w:tcW w:type="dxa" w:w="1735"/>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Famille</w:t>
            </w:r>
          </w:p>
        </w:tc>
        <w:tc>
          <w:tcPr>
            <w:tcW w:type="dxa" w:w="4241"/>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Indicateurs recommandés</w:t>
            </w:r>
          </w:p>
        </w:tc>
        <w:tc>
          <w:tcPr>
            <w:tcW w:type="dxa" w:w="3662"/>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Source et fréquence</w:t>
            </w:r>
          </w:p>
        </w:tc>
      </w:tr>
      <w:tr>
        <w:trPr>
          <w:cantSplit/>
          <w:tblHeader w:val="false"/>
        </w:trPr>
        <w:tc>
          <w:tcPr>
            <w:tcW w:type="dxa" w:w="1735"/>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Adoption</w:t>
            </w:r>
          </w:p>
        </w:tc>
        <w:tc>
          <w:tcPr>
            <w:tcW w:type="dxa" w:w="4241"/>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Part des collaborateurs du périmètre disposant d'une licence ; part des utilisateurs actifs hebdomadaires ; part des collaborateurs formés ; nombre d'ambassadeurs actifs.</w:t>
            </w:r>
          </w:p>
        </w:tc>
        <w:tc>
          <w:tcPr>
            <w:tcW w:type="dxa" w:w="3662"/>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Console d'administration de l'outil, registre de formation ; mensuel.</w:t>
            </w:r>
          </w:p>
        </w:tc>
      </w:tr>
      <w:tr>
        <w:trPr>
          <w:cantSplit/>
          <w:tblHeader w:val="false"/>
        </w:trPr>
        <w:tc>
          <w:tcPr>
            <w:tcW w:type="dxa" w:w="1735"/>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Usage</w:t>
            </w:r>
          </w:p>
        </w:tc>
        <w:tc>
          <w:tcPr>
            <w:tcW w:type="dxa" w:w="4241"/>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Nombre de cas d'usage documentés dans la bibliothèque ; nombre d'assistants et d'agents partagés ; usages par direction.</w:t>
            </w:r>
          </w:p>
        </w:tc>
        <w:tc>
          <w:tcPr>
            <w:tcW w:type="dxa" w:w="3662"/>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Bibliothèque interne, console ; mensuel.</w:t>
            </w:r>
          </w:p>
        </w:tc>
      </w:tr>
      <w:tr>
        <w:trPr>
          <w:cantSplit/>
          <w:tblHeader w:val="false"/>
        </w:trPr>
        <w:tc>
          <w:tcPr>
            <w:tcW w:type="dxa" w:w="1735"/>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Valeur</w:t>
            </w:r>
          </w:p>
        </w:tc>
        <w:tc>
          <w:tcPr>
            <w:tcW w:type="dxa" w:w="4241"/>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Temps gagné par semaine et par utilisateur (déclaratif, enquête trimestrielle) ; gains mesurés sur les pilotes (délai, volume traité) ; satisfaction des utilisateurs.</w:t>
            </w:r>
          </w:p>
        </w:tc>
        <w:tc>
          <w:tcPr>
            <w:tcW w:type="dxa" w:w="3662"/>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Baromètre à 3, 6 et 12 mois ; mesures avant/après des pilotes.</w:t>
            </w:r>
          </w:p>
        </w:tc>
      </w:tr>
      <w:tr>
        <w:trPr>
          <w:cantSplit/>
          <w:tblHeader w:val="false"/>
        </w:trPr>
        <w:tc>
          <w:tcPr>
            <w:tcW w:type="dxa" w:w="1735"/>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Qualité et risque</w:t>
            </w:r>
          </w:p>
        </w:tc>
        <w:tc>
          <w:tcPr>
            <w:tcW w:type="dxa" w:w="4241"/>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Incidents déclarés (fuite de données, erreur non détectée) ; taux de reprise des livrables générés sur un échantillon ; questions remontées au cercle des experts.</w:t>
            </w:r>
          </w:p>
        </w:tc>
        <w:tc>
          <w:tcPr>
            <w:tcW w:type="dxa" w:w="3662"/>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Registre des incidents, revue par sondage ; mensuel.</w:t>
            </w:r>
          </w:p>
        </w:tc>
      </w:tr>
    </w:tbl>
    <w:p>
      <w:pPr>
        <w:spacing w:after="120"/>
      </w:pPr>
    </w:p>
    <w:tbl>
      <w:tblPr>
        <w:tblW w:type="dxa" w:w="9638"/>
        <w:tblBorders>
          <w:top w:val="none" w:color="FFFFFF" w:sz="0"/>
          <w:left w:val="none" w:color="FFFFFF" w:sz="0"/>
          <w:bottom w:val="none" w:color="FFFFFF" w:sz="0"/>
          <w:right w:val="none" w:color="FFFFFF" w:sz="0"/>
          <w:insideH w:val="none" w:color="FFFFFF" w:sz="0"/>
          <w:insideV w:val="none" w:color="FFFFFF" w:sz="0"/>
        </w:tblBorders>
      </w:tblPr>
      <w:tblGrid>
        <w:gridCol w:w="9638"/>
      </w:tblGrid>
      <w:tr>
        <w:tc>
          <w:tcPr>
            <w:tcW w:type="dxa" w:w="9638"/>
            <w:tcBorders>
              <w:top w:val="none" w:color="FFFFFF" w:sz="0"/>
              <w:left w:val="single" w:color="1F5FBF" w:sz="24"/>
              <w:bottom w:val="none" w:color="FFFFFF" w:sz="0"/>
              <w:right w:val="none" w:color="FFFFFF" w:sz="0"/>
            </w:tcBorders>
            <w:shd w:fill="EAF1FB" w:color="auto" w:val="clear"/>
            <w:tcMar>
              <w:top w:type="dxa" w:w="140"/>
              <w:left w:type="dxa" w:w="200"/>
              <w:bottom w:type="dxa" w:w="100"/>
              <w:right w:type="dxa" w:w="200"/>
            </w:tcMar>
          </w:tcPr>
          <w:p>
            <w:pPr>
              <w:spacing w:after="80"/>
            </w:pPr>
            <w:r>
              <w:rPr>
                <w:rFonts w:ascii="Calibri" w:cs="Calibri" w:eastAsia="Calibri" w:hAnsi="Calibri"/>
                <w:b/>
                <w:bCs/>
                <w:color w:val="0F2D5E"/>
                <w:sz w:val="21"/>
                <w:szCs w:val="21"/>
              </w:rPr>
              <w:t xml:space="preserve">Repère : des cibles raisonnables à 12 mois</w:t>
            </w:r>
          </w:p>
          <w:p>
            <w:pPr>
              <w:spacing w:after="60" w:line="264"/>
            </w:pPr>
            <w:r>
              <w:rPr>
                <w:rFonts w:ascii="Calibri" w:cs="Calibri" w:eastAsia="Calibri" w:hAnsi="Calibri"/>
                <w:sz w:val="20"/>
                <w:szCs w:val="20"/>
              </w:rPr>
              <w:t xml:space="preserve">Les organisations qui déploient sérieusement atteignent souvent, au bout d'un an sur leur périmètre, une majorité de collaborateurs formés, un tiers à la moitié d'utilisateurs actifs chaque semaine, et un gain déclaré de l'ordre de deux à trois heures par semaine pour les utilisateurs réguliers. Ces ordres de grandeur varient fortement selon les métiers et les outils ; fixez vos propres cibles à partir des valeurs de départ mesurées au diagnostic, puis ajustez-les à six mois.</w:t>
            </w:r>
          </w:p>
        </w:tc>
      </w:tr>
    </w:tbl>
    <w:p>
      <w:pPr>
        <w:spacing w:after="120"/>
      </w:pPr>
    </w:p>
    <w:p>
      <w:pPr>
        <w:pStyle w:val="Heading2"/>
        <w:keepNext/>
        <w:spacing w:after="140" w:before="320"/>
      </w:pPr>
      <w:r>
        <w:rPr>
          <w:rFonts w:ascii="Calibri" w:cs="Calibri" w:eastAsia="Calibri" w:hAnsi="Calibri"/>
        </w:rPr>
        <w:t xml:space="preserve">5.2 Mesurer la valeur sans se tromper</w:t>
      </w:r>
    </w:p>
    <w:p>
      <w:pPr>
        <w:spacing w:after="140" w:before="0" w:line="276"/>
      </w:pPr>
      <w:r>
        <w:rPr>
          <w:rFonts w:ascii="Calibri" w:cs="Calibri" w:eastAsia="Calibri" w:hAnsi="Calibri"/>
        </w:rPr>
        <w:t xml:space="preserve">Trois méthodes complémentaires, du plus simple au plus rigoureux :</w:t>
      </w:r>
    </w:p>
    <w:p>
      <w:pPr>
        <w:pStyle w:val="ListParagraph"/>
        <w:numPr>
          <w:ilvl w:val="0"/>
          <w:numId w:val="3"/>
        </w:numPr>
        <w:spacing w:after="80" w:line="276"/>
      </w:pPr>
      <w:r>
        <w:rPr>
          <w:rFonts w:ascii="Calibri" w:cs="Calibri" w:eastAsia="Calibri" w:hAnsi="Calibri"/>
          <w:b/>
          <w:bCs/>
        </w:rPr>
        <w:t xml:space="preserve">Le déclaratif encadré.</w:t>
      </w:r>
      <w:r>
        <w:rPr>
          <w:rFonts w:ascii="Calibri" w:cs="Calibri" w:eastAsia="Calibri" w:hAnsi="Calibri"/>
        </w:rPr>
        <w:t xml:space="preserve"> Une question unique dans le baromètre trimestriel : « Combien d'heures par semaine estimez-vous gagner grâce à l'IA ? » avec des tranches. Simple, biaisé, mais comparable dans le temps.</w:t>
      </w:r>
    </w:p>
    <w:p>
      <w:pPr>
        <w:pStyle w:val="ListParagraph"/>
        <w:numPr>
          <w:ilvl w:val="0"/>
          <w:numId w:val="3"/>
        </w:numPr>
        <w:spacing w:after="80" w:line="276"/>
      </w:pPr>
      <w:r>
        <w:rPr>
          <w:rFonts w:ascii="Calibri" w:cs="Calibri" w:eastAsia="Calibri" w:hAnsi="Calibri"/>
          <w:b/>
          <w:bCs/>
        </w:rPr>
        <w:t xml:space="preserve">La mesure avant/après sur un pilote.</w:t>
      </w:r>
      <w:r>
        <w:rPr>
          <w:rFonts w:ascii="Calibri" w:cs="Calibri" w:eastAsia="Calibri" w:hAnsi="Calibri"/>
        </w:rPr>
        <w:t xml:space="preserve"> Sur un échantillon de tâches (vingt réponses à des demandes, dix comptes rendus), on chronomètre le délai et on note la qualité avant et après. C'est la méthode la plus convaincante pour un comité de direction.</w:t>
      </w:r>
    </w:p>
    <w:p>
      <w:pPr>
        <w:pStyle w:val="ListParagraph"/>
        <w:numPr>
          <w:ilvl w:val="0"/>
          <w:numId w:val="3"/>
        </w:numPr>
        <w:spacing w:after="80" w:line="276"/>
      </w:pPr>
      <w:r>
        <w:rPr>
          <w:rFonts w:ascii="Calibri" w:cs="Calibri" w:eastAsia="Calibri" w:hAnsi="Calibri"/>
          <w:b/>
          <w:bCs/>
        </w:rPr>
        <w:t xml:space="preserve">Le suivi d'un indicateur de processus.</w:t>
      </w:r>
      <w:r>
        <w:rPr>
          <w:rFonts w:ascii="Calibri" w:cs="Calibri" w:eastAsia="Calibri" w:hAnsi="Calibri"/>
        </w:rPr>
        <w:t xml:space="preserve"> Pour les cas généralisés : délai moyen de réponse à un appel d'offres, délai de traitement d'une réclamation, taux de dossiers complets du premier coup. L'IA n'est pas la seule cause de l'évolution, mais c'est l'indicateur que suit déjà le métier.</w:t>
      </w:r>
    </w:p>
    <w:p>
      <w:pPr>
        <w:spacing w:after="140" w:before="0" w:line="276"/>
      </w:pPr>
      <w:r>
        <w:rPr>
          <w:rFonts w:ascii="Calibri" w:cs="Calibri" w:eastAsia="Calibri" w:hAnsi="Calibri"/>
        </w:rPr>
        <w:t xml:space="preserve">Évitez de convertir trop tôt les heures gagnées en euros : le chiffre est fragile et détourne la discussion. Présentez d'abord les heures, l'usage et la qualité ; le calcul de retour sur investissement vient au bilan annuel, avec les coûts réels de licences, de formation et de temps interne.</w:t>
      </w:r>
    </w:p>
    <w:p>
      <w:pPr>
        <w:pStyle w:val="Heading2"/>
        <w:keepNext/>
        <w:spacing w:after="140" w:before="320"/>
      </w:pPr>
      <w:r>
        <w:rPr>
          <w:rFonts w:ascii="Calibri" w:cs="Calibri" w:eastAsia="Calibri" w:hAnsi="Calibri"/>
        </w:rPr>
        <w:t xml:space="preserve">5.3 Les deux rituels</w:t>
      </w:r>
    </w:p>
    <w:tbl>
      <w:tblPr>
        <w:tblW w:type="dxa" w:w="9638"/>
        <w:tblBorders>
          <w:top w:val="single" w:color="C9D3E0" w:sz="4"/>
          <w:left w:val="single" w:color="C9D3E0" w:sz="4"/>
          <w:bottom w:val="single" w:color="C9D3E0" w:sz="4"/>
          <w:right w:val="single" w:color="C9D3E0" w:sz="4"/>
          <w:insideH w:val="single" w:color="C9D3E0" w:sz="4"/>
          <w:insideV w:val="single" w:color="C9D3E0" w:sz="4"/>
        </w:tblBorders>
      </w:tblPr>
      <w:tblGrid>
        <w:gridCol w:w="2506"/>
        <w:gridCol w:w="3566"/>
        <w:gridCol w:w="3566"/>
      </w:tblGrid>
      <w:tr>
        <w:trPr>
          <w:cantSplit/>
          <w:tblHeader/>
        </w:trPr>
        <w:tc>
          <w:tcPr>
            <w:tcW w:type="dxa" w:w="2506"/>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Rituel</w:t>
            </w:r>
          </w:p>
        </w:tc>
        <w:tc>
          <w:tcPr>
            <w:tcW w:type="dxa" w:w="3566"/>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Participants et durée</w:t>
            </w:r>
          </w:p>
        </w:tc>
        <w:tc>
          <w:tcPr>
            <w:tcW w:type="dxa" w:w="3566"/>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Ordre du jour</w:t>
            </w:r>
          </w:p>
        </w:tc>
      </w:tr>
      <w:tr>
        <w:trPr>
          <w:cantSplit/>
          <w:tblHeader w:val="false"/>
        </w:trPr>
        <w:tc>
          <w:tcPr>
            <w:tcW w:type="dxa" w:w="2506"/>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Comité IA mensuel</w:t>
            </w:r>
          </w:p>
        </w:tc>
        <w:tc>
          <w:tcPr>
            <w:tcW w:type="dxa" w:w="3566"/>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Sponsor, référent, deux ou trois managers concernés, un ambassadeur invité tournant, expert selon le sujet. Une heure.</w:t>
            </w:r>
          </w:p>
        </w:tc>
        <w:tc>
          <w:tcPr>
            <w:tcW w:type="dxa" w:w="3566"/>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Indicateurs du mois ; avancement des pilotes et projets ; arbitrage du backlog (nouveaux cas, cas écartés) ; incidents et questions de conformité ; décisions et actions. Modèle en annexe D.</w:t>
            </w:r>
          </w:p>
        </w:tc>
      </w:tr>
      <w:tr>
        <w:trPr>
          <w:cantSplit/>
          <w:tblHeader w:val="false"/>
        </w:trPr>
        <w:tc>
          <w:tcPr>
            <w:tcW w:type="dxa" w:w="2506"/>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Revue trimestrielle en comité de direction</w:t>
            </w:r>
          </w:p>
        </w:tc>
        <w:tc>
          <w:tcPr>
            <w:tcW w:type="dxa" w:w="3566"/>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Comité de direction, référent. Trente minutes.</w:t>
            </w:r>
          </w:p>
        </w:tc>
        <w:tc>
          <w:tcPr>
            <w:tcW w:type="dxa" w:w="3566"/>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Bilan du trimestre sur les quatre familles d'indicateurs ; jalon de fin de trimestre ; décision de passage au trimestre suivant ; moyens.</w:t>
            </w:r>
          </w:p>
        </w:tc>
      </w:tr>
    </w:tbl>
    <w:p>
      <w:pPr>
        <w:spacing w:after="120"/>
      </w:pPr>
    </w:p>
    <w:p>
      <w:pPr>
        <w:pStyle w:val="Heading2"/>
        <w:keepNext/>
        <w:spacing w:after="140" w:before="320"/>
      </w:pPr>
      <w:r>
        <w:rPr>
          <w:rFonts w:ascii="Calibri" w:cs="Calibri" w:eastAsia="Calibri" w:hAnsi="Calibri"/>
        </w:rPr>
        <w:t xml:space="preserve">5.4 Reconnaître les signaux d'alerte</w:t>
      </w:r>
    </w:p>
    <w:tbl>
      <w:tblPr>
        <w:tblW w:type="dxa" w:w="9638"/>
        <w:tblBorders>
          <w:top w:val="single" w:color="C9D3E0" w:sz="4"/>
          <w:left w:val="single" w:color="C9D3E0" w:sz="4"/>
          <w:bottom w:val="single" w:color="C9D3E0" w:sz="4"/>
          <w:right w:val="single" w:color="C9D3E0" w:sz="4"/>
          <w:insideH w:val="single" w:color="C9D3E0" w:sz="4"/>
          <w:insideV w:val="single" w:color="C9D3E0" w:sz="4"/>
        </w:tblBorders>
      </w:tblPr>
      <w:tblGrid>
        <w:gridCol w:w="3855"/>
        <w:gridCol w:w="5783"/>
      </w:tblGrid>
      <w:tr>
        <w:trPr>
          <w:cantSplit/>
          <w:tblHeader/>
        </w:trPr>
        <w:tc>
          <w:tcPr>
            <w:tcW w:type="dxa" w:w="3855"/>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Signal</w:t>
            </w:r>
          </w:p>
        </w:tc>
        <w:tc>
          <w:tcPr>
            <w:tcW w:type="dxa" w:w="5783"/>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Réponse recommandée</w:t>
            </w:r>
          </w:p>
        </w:tc>
      </w:tr>
      <w:tr>
        <w:trPr>
          <w:cantSplit/>
          <w:tblHeader w:val="false"/>
        </w:trPr>
        <w:tc>
          <w:tcPr>
            <w:tcW w:type="dxa" w:w="3855"/>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Le taux d'utilisateurs actifs stagne sous 20 % après six mois</w:t>
            </w:r>
          </w:p>
        </w:tc>
        <w:tc>
          <w:tcPr>
            <w:tcW w:type="dxa" w:w="5783"/>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Reprendre la formation par métier avec des cas d'usage concrets ; vérifier que les managers portent le sujet ; simplifier l'accès aux outils.</w:t>
            </w:r>
          </w:p>
        </w:tc>
      </w:tr>
      <w:tr>
        <w:trPr>
          <w:cantSplit/>
          <w:tblHeader w:val="false"/>
        </w:trPr>
        <w:tc>
          <w:tcPr>
            <w:tcW w:type="dxa" w:w="3855"/>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Les cas d'usage viennent tous de la même direction</w:t>
            </w:r>
          </w:p>
        </w:tc>
        <w:tc>
          <w:tcPr>
            <w:tcW w:type="dxa" w:w="5783"/>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Aller chercher les autres directions par des entretiens ciblés et des ateliers d'inventaire ; nommer des ambassadeurs là où il n'y en a pas.</w:t>
            </w:r>
          </w:p>
        </w:tc>
      </w:tr>
      <w:tr>
        <w:trPr>
          <w:cantSplit/>
          <w:tblHeader w:val="false"/>
        </w:trPr>
        <w:tc>
          <w:tcPr>
            <w:tcW w:type="dxa" w:w="3855"/>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Les pilotes s'éternisent sans décision</w:t>
            </w:r>
          </w:p>
        </w:tc>
        <w:tc>
          <w:tcPr>
            <w:tcW w:type="dxa" w:w="5783"/>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Imposer la durée de six à huit semaines et la fiche de cadrage ; trancher en comité : généraliser, prolonger une fois, arrêter.</w:t>
            </w:r>
          </w:p>
        </w:tc>
      </w:tr>
      <w:tr>
        <w:trPr>
          <w:cantSplit/>
          <w:tblHeader w:val="false"/>
        </w:trPr>
        <w:tc>
          <w:tcPr>
            <w:tcW w:type="dxa" w:w="3855"/>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Des usages non autorisés persistent (comptes personnels)</w:t>
            </w:r>
          </w:p>
        </w:tc>
        <w:tc>
          <w:tcPr>
            <w:tcW w:type="dxa" w:w="5783"/>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Mesurer l'écart, rappeler la charte, mais surtout vérifier que l'outil de référence répond aux besoins qui poussent vers l'extérieur.</w:t>
            </w:r>
          </w:p>
        </w:tc>
      </w:tr>
      <w:tr>
        <w:trPr>
          <w:cantSplit/>
          <w:tblHeader w:val="false"/>
        </w:trPr>
        <w:tc>
          <w:tcPr>
            <w:tcW w:type="dxa" w:w="3855"/>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Le sponsor n'est plus présent aux comités</w:t>
            </w:r>
          </w:p>
        </w:tc>
        <w:tc>
          <w:tcPr>
            <w:tcW w:type="dxa" w:w="5783"/>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Revenir à l'ambition et aux résultats obtenus ; proposer une revue trimestrielle plus courte ; à défaut, chercher un second sponsor.</w:t>
            </w:r>
          </w:p>
        </w:tc>
      </w:tr>
    </w:tbl>
    <w:p>
      <w:pPr>
        <w:pStyle w:val="Heading1"/>
        <w:pageBreakBefore/>
        <w:spacing w:after="240" w:before="0"/>
      </w:pPr>
      <w:r>
        <w:rPr>
          <w:rFonts w:ascii="Calibri" w:cs="Calibri" w:eastAsia="Calibri" w:hAnsi="Calibri"/>
        </w:rPr>
        <w:t xml:space="preserve">Annexe A. Calendrier des 12 mois</w:t>
      </w:r>
    </w:p>
    <w:p>
      <w:pPr>
        <w:spacing w:after="140" w:before="0" w:line="276"/>
      </w:pPr>
      <w:r>
        <w:rPr>
          <w:rFonts w:ascii="Calibri" w:cs="Calibri" w:eastAsia="Calibri" w:hAnsi="Calibri"/>
        </w:rPr>
        <w:t xml:space="preserve">Le calendrier suppose un démarrage au mois 1 ; décalez-le selon votre date de lancement. Les colonnes « Formation » et « Jalon » sont celles que le comité de direction suivra.</w:t>
      </w:r>
    </w:p>
    <w:tbl>
      <w:tblPr>
        <w:tblW w:type="dxa" w:w="9638"/>
        <w:tblBorders>
          <w:top w:val="single" w:color="C9D3E0" w:sz="4"/>
          <w:left w:val="single" w:color="C9D3E0" w:sz="4"/>
          <w:bottom w:val="single" w:color="C9D3E0" w:sz="4"/>
          <w:right w:val="single" w:color="C9D3E0" w:sz="4"/>
          <w:insideH w:val="single" w:color="C9D3E0" w:sz="4"/>
          <w:insideV w:val="single" w:color="C9D3E0" w:sz="4"/>
        </w:tblBorders>
      </w:tblPr>
      <w:tblGrid>
        <w:gridCol w:w="867"/>
        <w:gridCol w:w="1831"/>
        <w:gridCol w:w="3277"/>
        <w:gridCol w:w="2120"/>
        <w:gridCol w:w="1542"/>
      </w:tblGrid>
      <w:tr>
        <w:trPr>
          <w:cantSplit/>
          <w:tblHeader/>
        </w:trPr>
        <w:tc>
          <w:tcPr>
            <w:tcW w:type="dxa" w:w="867"/>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Mois</w:t>
            </w:r>
          </w:p>
        </w:tc>
        <w:tc>
          <w:tcPr>
            <w:tcW w:type="dxa" w:w="1831"/>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Objectif</w:t>
            </w:r>
          </w:p>
        </w:tc>
        <w:tc>
          <w:tcPr>
            <w:tcW w:type="dxa" w:w="3277"/>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Actions principales</w:t>
            </w:r>
          </w:p>
        </w:tc>
        <w:tc>
          <w:tcPr>
            <w:tcW w:type="dxa" w:w="2120"/>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Formation</w:t>
            </w:r>
          </w:p>
        </w:tc>
        <w:tc>
          <w:tcPr>
            <w:tcW w:type="dxa" w:w="1542"/>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Jalon</w:t>
            </w:r>
          </w:p>
        </w:tc>
      </w:tr>
      <w:tr>
        <w:trPr>
          <w:cantSplit/>
          <w:tblHeader w:val="false"/>
        </w:trPr>
        <w:tc>
          <w:tcPr>
            <w:tcW w:type="dxa" w:w="867"/>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1</w:t>
            </w:r>
          </w:p>
        </w:tc>
        <w:tc>
          <w:tcPr>
            <w:tcW w:type="dxa" w:w="1831"/>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Diagnostic</w:t>
            </w:r>
          </w:p>
        </w:tc>
        <w:tc>
          <w:tcPr>
            <w:tcW w:type="dxa" w:w="3277"/>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Questionnaire et entretiens ; inventaire des usages existants ; nomination du référent.</w:t>
            </w:r>
          </w:p>
        </w:tc>
        <w:tc>
          <w:tcPr>
            <w:tcW w:type="dxa" w:w="2120"/>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Référent (début du parcours)</w:t>
            </w:r>
          </w:p>
        </w:tc>
        <w:tc>
          <w:tcPr>
            <w:tcW w:type="dxa" w:w="1542"/>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Diagnostic restitué</w:t>
            </w:r>
          </w:p>
        </w:tc>
      </w:tr>
      <w:tr>
        <w:trPr>
          <w:cantSplit/>
          <w:tblHeader w:val="false"/>
        </w:trPr>
        <w:tc>
          <w:tcPr>
            <w:tcW w:type="dxa" w:w="867"/>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2</w:t>
            </w:r>
          </w:p>
        </w:tc>
        <w:tc>
          <w:tcPr>
            <w:tcW w:type="dxa" w:w="1831"/>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Cadrage</w:t>
            </w:r>
          </w:p>
        </w:tc>
        <w:tc>
          <w:tcPr>
            <w:tcW w:type="dxa" w:w="3277"/>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Note de cadrage ; charte IA rédigée et soumise aux experts ; information des IRP ; gouvernance installée.</w:t>
            </w:r>
          </w:p>
        </w:tc>
        <w:tc>
          <w:tcPr>
            <w:tcW w:type="dxa" w:w="2120"/>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Comité de direction</w:t>
            </w:r>
          </w:p>
        </w:tc>
        <w:tc>
          <w:tcPr>
            <w:tcW w:type="dxa" w:w="1542"/>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Note de cadrage et charte validées</w:t>
            </w:r>
          </w:p>
        </w:tc>
      </w:tr>
      <w:tr>
        <w:trPr>
          <w:cantSplit/>
          <w:tblHeader w:val="false"/>
        </w:trPr>
        <w:tc>
          <w:tcPr>
            <w:tcW w:type="dxa" w:w="867"/>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3</w:t>
            </w:r>
          </w:p>
        </w:tc>
        <w:tc>
          <w:tcPr>
            <w:tcW w:type="dxa" w:w="1831"/>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Lancement</w:t>
            </w:r>
          </w:p>
        </w:tc>
        <w:tc>
          <w:tcPr>
            <w:tcW w:type="dxa" w:w="3277"/>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Charte publiée ; licences ouvertes aux volontaires ; ambassadeurs recrutés et formés ; quick wins lancés ; baromètre à 3 mois.</w:t>
            </w:r>
          </w:p>
        </w:tc>
        <w:tc>
          <w:tcPr>
            <w:tcW w:type="dxa" w:w="2120"/>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Ambassadeurs ; premières équipes volontaires</w:t>
            </w:r>
          </w:p>
        </w:tc>
        <w:tc>
          <w:tcPr>
            <w:tcW w:type="dxa" w:w="1542"/>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Réseau d'ambassadeurs actif</w:t>
            </w:r>
          </w:p>
        </w:tc>
      </w:tr>
      <w:tr>
        <w:trPr>
          <w:cantSplit/>
          <w:tblHeader w:val="false"/>
        </w:trPr>
        <w:tc>
          <w:tcPr>
            <w:tcW w:type="dxa" w:w="867"/>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4</w:t>
            </w:r>
          </w:p>
        </w:tc>
        <w:tc>
          <w:tcPr>
            <w:tcW w:type="dxa" w:w="1831"/>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Cadrage des pilotes</w:t>
            </w:r>
          </w:p>
        </w:tc>
        <w:tc>
          <w:tcPr>
            <w:tcW w:type="dxa" w:w="3277"/>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Fiches de cadrage des pilotes ; avis des experts ; mesure des indicateurs de départ.</w:t>
            </w:r>
          </w:p>
        </w:tc>
        <w:tc>
          <w:tcPr>
            <w:tcW w:type="dxa" w:w="2120"/>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Équipes pilotes</w:t>
            </w:r>
          </w:p>
        </w:tc>
        <w:tc>
          <w:tcPr>
            <w:tcW w:type="dxa" w:w="1542"/>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Pilotes lancés</w:t>
            </w:r>
          </w:p>
        </w:tc>
      </w:tr>
      <w:tr>
        <w:trPr>
          <w:cantSplit/>
          <w:tblHeader w:val="false"/>
        </w:trPr>
        <w:tc>
          <w:tcPr>
            <w:tcW w:type="dxa" w:w="867"/>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5</w:t>
            </w:r>
          </w:p>
        </w:tc>
        <w:tc>
          <w:tcPr>
            <w:tcW w:type="dxa" w:w="1831"/>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Pilotes</w:t>
            </w:r>
          </w:p>
        </w:tc>
        <w:tc>
          <w:tcPr>
            <w:tcW w:type="dxa" w:w="3277"/>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Accompagnement rapproché ; point à mi-pilote ; formation des managers.</w:t>
            </w:r>
          </w:p>
        </w:tc>
        <w:tc>
          <w:tcPr>
            <w:tcW w:type="dxa" w:w="2120"/>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Managers (vague 1)</w:t>
            </w:r>
          </w:p>
        </w:tc>
        <w:tc>
          <w:tcPr>
            <w:tcW w:type="dxa" w:w="1542"/>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Point à mi-pilote</w:t>
            </w:r>
          </w:p>
        </w:tc>
      </w:tr>
      <w:tr>
        <w:trPr>
          <w:cantSplit/>
          <w:tblHeader w:val="false"/>
        </w:trPr>
        <w:tc>
          <w:tcPr>
            <w:tcW w:type="dxa" w:w="867"/>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6</w:t>
            </w:r>
          </w:p>
        </w:tc>
        <w:tc>
          <w:tcPr>
            <w:tcW w:type="dxa" w:w="1831"/>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Bilan des pilotes</w:t>
            </w:r>
          </w:p>
        </w:tc>
        <w:tc>
          <w:tcPr>
            <w:tcW w:type="dxa" w:w="3277"/>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Mesure avant/après ; bilan écrit ; revue trimestrielle et décision de généralisation ; baromètre à 6 mois.</w:t>
            </w:r>
          </w:p>
        </w:tc>
        <w:tc>
          <w:tcPr>
            <w:tcW w:type="dxa" w:w="2120"/>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Managers (vague 2)</w:t>
            </w:r>
          </w:p>
        </w:tc>
        <w:tc>
          <w:tcPr>
            <w:tcW w:type="dxa" w:w="1542"/>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Décision de généralisation</w:t>
            </w:r>
          </w:p>
        </w:tc>
      </w:tr>
      <w:tr>
        <w:trPr>
          <w:cantSplit/>
          <w:tblHeader w:val="false"/>
        </w:trPr>
        <w:tc>
          <w:tcPr>
            <w:tcW w:type="dxa" w:w="867"/>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7</w:t>
            </w:r>
          </w:p>
        </w:tc>
        <w:tc>
          <w:tcPr>
            <w:tcW w:type="dxa" w:w="1831"/>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Déploiement</w:t>
            </w:r>
          </w:p>
        </w:tc>
        <w:tc>
          <w:tcPr>
            <w:tcW w:type="dxa" w:w="3277"/>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Licences ouvertes à tout le périmètre ; parcours d'entrée obligatoire ; première vague de formation par métier.</w:t>
            </w:r>
          </w:p>
        </w:tc>
        <w:tc>
          <w:tcPr>
            <w:tcW w:type="dxa" w:w="2120"/>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Métiers (vague 1)</w:t>
            </w:r>
          </w:p>
        </w:tc>
        <w:tc>
          <w:tcPr>
            <w:tcW w:type="dxa" w:w="1542"/>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Périmètre équipé</w:t>
            </w:r>
          </w:p>
        </w:tc>
      </w:tr>
      <w:tr>
        <w:trPr>
          <w:cantSplit/>
          <w:tblHeader w:val="false"/>
        </w:trPr>
        <w:tc>
          <w:tcPr>
            <w:tcW w:type="dxa" w:w="867"/>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8</w:t>
            </w:r>
          </w:p>
        </w:tc>
        <w:tc>
          <w:tcPr>
            <w:tcW w:type="dxa" w:w="1831"/>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Déploiement</w:t>
            </w:r>
          </w:p>
        </w:tc>
        <w:tc>
          <w:tcPr>
            <w:tcW w:type="dxa" w:w="3277"/>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Deuxième vague par métier ; intégration des pilotes réussis dans les procédures ; rendez-vous mensuel de partage.</w:t>
            </w:r>
          </w:p>
        </w:tc>
        <w:tc>
          <w:tcPr>
            <w:tcW w:type="dxa" w:w="2120"/>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Métiers (vague 2)</w:t>
            </w:r>
          </w:p>
        </w:tc>
        <w:tc>
          <w:tcPr>
            <w:tcW w:type="dxa" w:w="1542"/>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Bibliothèque à 20 cas</w:t>
            </w:r>
          </w:p>
        </w:tc>
      </w:tr>
      <w:tr>
        <w:trPr>
          <w:cantSplit/>
          <w:tblHeader w:val="false"/>
        </w:trPr>
        <w:tc>
          <w:tcPr>
            <w:tcW w:type="dxa" w:w="867"/>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9</w:t>
            </w:r>
          </w:p>
        </w:tc>
        <w:tc>
          <w:tcPr>
            <w:tcW w:type="dxa" w:w="1831"/>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Consolidation</w:t>
            </w:r>
          </w:p>
        </w:tc>
        <w:tc>
          <w:tcPr>
            <w:tcW w:type="dxa" w:w="3277"/>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Troisième vague ; mesure du taux d'usage par direction ; plans d'action sur les directions en retard ; cadrage des agents.</w:t>
            </w:r>
          </w:p>
        </w:tc>
        <w:tc>
          <w:tcPr>
            <w:tcW w:type="dxa" w:w="2120"/>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Métiers (vague 3)</w:t>
            </w:r>
          </w:p>
        </w:tc>
        <w:tc>
          <w:tcPr>
            <w:tcW w:type="dxa" w:w="1542"/>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Taux d'usage cible atteint</w:t>
            </w:r>
          </w:p>
        </w:tc>
      </w:tr>
      <w:tr>
        <w:trPr>
          <w:cantSplit/>
          <w:tblHeader w:val="false"/>
        </w:trPr>
        <w:tc>
          <w:tcPr>
            <w:tcW w:type="dxa" w:w="867"/>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10</w:t>
            </w:r>
          </w:p>
        </w:tc>
        <w:tc>
          <w:tcPr>
            <w:tcW w:type="dxa" w:w="1831"/>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Industrialisation</w:t>
            </w:r>
          </w:p>
        </w:tc>
        <w:tc>
          <w:tcPr>
            <w:tcW w:type="dxa" w:w="3277"/>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Mise en production des premiers agents et coworks ; formation des porteurs ; revue de la charte.</w:t>
            </w:r>
          </w:p>
        </w:tc>
        <w:tc>
          <w:tcPr>
            <w:tcW w:type="dxa" w:w="2120"/>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Porteurs d'agents et de coworks</w:t>
            </w:r>
          </w:p>
        </w:tc>
        <w:tc>
          <w:tcPr>
            <w:tcW w:type="dxa" w:w="1542"/>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Premiers agents en production</w:t>
            </w:r>
          </w:p>
        </w:tc>
      </w:tr>
      <w:tr>
        <w:trPr>
          <w:cantSplit/>
          <w:tblHeader w:val="false"/>
        </w:trPr>
        <w:tc>
          <w:tcPr>
            <w:tcW w:type="dxa" w:w="867"/>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11</w:t>
            </w:r>
          </w:p>
        </w:tc>
        <w:tc>
          <w:tcPr>
            <w:tcW w:type="dxa" w:w="1831"/>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Bilan</w:t>
            </w:r>
          </w:p>
        </w:tc>
        <w:tc>
          <w:tcPr>
            <w:tcW w:type="dxa" w:w="3277"/>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Baromètre à 12 mois ; bilan annuel (usage, valeur, qualité, coûts) ; arbitrages arrêter / maintenir / investir.</w:t>
            </w:r>
          </w:p>
        </w:tc>
        <w:tc>
          <w:tcPr>
            <w:tcW w:type="dxa" w:w="2120"/>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IT, sécurité, données (approfondissement)</w:t>
            </w:r>
          </w:p>
        </w:tc>
        <w:tc>
          <w:tcPr>
            <w:tcW w:type="dxa" w:w="1542"/>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Bilan annuel présenté</w:t>
            </w:r>
          </w:p>
        </w:tc>
      </w:tr>
      <w:tr>
        <w:trPr>
          <w:cantSplit/>
          <w:tblHeader w:val="false"/>
        </w:trPr>
        <w:tc>
          <w:tcPr>
            <w:tcW w:type="dxa" w:w="867"/>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12</w:t>
            </w:r>
          </w:p>
        </w:tc>
        <w:tc>
          <w:tcPr>
            <w:tcW w:type="dxa" w:w="1831"/>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Année 2</w:t>
            </w:r>
          </w:p>
        </w:tc>
        <w:tc>
          <w:tcPr>
            <w:tcW w:type="dxa" w:w="3277"/>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Feuille de route année 2 ; budget ; gouvernance ajustée ; communication interne des résultats.</w:t>
            </w:r>
          </w:p>
        </w:tc>
        <w:tc>
          <w:tcPr>
            <w:tcW w:type="dxa" w:w="2120"/>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Plan de formation année 2</w:t>
            </w:r>
          </w:p>
        </w:tc>
        <w:tc>
          <w:tcPr>
            <w:tcW w:type="dxa" w:w="1542"/>
            <w:tcMar>
              <w:top w:type="dxa" w:w="80"/>
              <w:left w:type="dxa" w:w="110"/>
              <w:bottom w:type="dxa" w:w="80"/>
              <w:right w:type="dxa" w:w="110"/>
            </w:tcMar>
            <w:vAlign w:val="top"/>
          </w:tcPr>
          <w:p>
            <w:pPr>
              <w:spacing w:after="40" w:line="260"/>
            </w:pPr>
            <w:r>
              <w:rPr>
                <w:rFonts w:ascii="Calibri" w:cs="Calibri" w:eastAsia="Calibri" w:hAnsi="Calibri"/>
                <w:b w:val="false"/>
                <w:bCs w:val="false"/>
                <w:sz w:val="19"/>
                <w:szCs w:val="19"/>
              </w:rPr>
              <w:t xml:space="preserve">Feuille de route année 2 validée</w:t>
            </w:r>
          </w:p>
        </w:tc>
      </w:tr>
    </w:tbl>
    <w:p>
      <w:pPr>
        <w:pStyle w:val="Heading1"/>
        <w:pageBreakBefore/>
        <w:spacing w:after="240" w:before="0"/>
      </w:pPr>
      <w:r>
        <w:rPr>
          <w:rFonts w:ascii="Calibri" w:cs="Calibri" w:eastAsia="Calibri" w:hAnsi="Calibri"/>
        </w:rPr>
        <w:t xml:space="preserve">Annexe B. Fiche de cas d'usage</w:t>
      </w:r>
    </w:p>
    <w:p>
      <w:pPr>
        <w:spacing w:after="140" w:before="0" w:line="276"/>
      </w:pPr>
      <w:r>
        <w:rPr>
          <w:rFonts w:ascii="Calibri" w:cs="Calibri" w:eastAsia="Calibri" w:hAnsi="Calibri"/>
        </w:rPr>
        <w:t xml:space="preserve">Une fiche par cas d'usage inventorié, tenue par le référent IA dans le backlog. Elle tient sur une page et sert de base à l'arbitrage en comité.</w:t>
      </w:r>
    </w:p>
    <w:tbl>
      <w:tblPr>
        <w:tblW w:type="dxa" w:w="9638"/>
        <w:tblBorders>
          <w:top w:val="single" w:color="C9D3E0" w:sz="4"/>
          <w:left w:val="single" w:color="C9D3E0" w:sz="4"/>
          <w:bottom w:val="single" w:color="C9D3E0" w:sz="4"/>
          <w:right w:val="single" w:color="C9D3E0" w:sz="4"/>
          <w:insideH w:val="single" w:color="C9D3E0" w:sz="4"/>
          <w:insideV w:val="single" w:color="C9D3E0" w:sz="4"/>
        </w:tblBorders>
      </w:tblPr>
      <w:tblGrid>
        <w:gridCol w:w="3084"/>
        <w:gridCol w:w="6554"/>
      </w:tblGrid>
      <w:tr>
        <w:trPr>
          <w:cantSplit/>
          <w:tblHeader/>
        </w:trPr>
        <w:tc>
          <w:tcPr>
            <w:tcW w:type="dxa" w:w="3084"/>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Champ</w:t>
            </w:r>
          </w:p>
        </w:tc>
        <w:tc>
          <w:tcPr>
            <w:tcW w:type="dxa" w:w="6554"/>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À compléter</w:t>
            </w:r>
          </w:p>
        </w:tc>
      </w:tr>
      <w:tr>
        <w:trPr>
          <w:cantSplit/>
          <w:tblHeader w:val="false"/>
        </w:trPr>
        <w:tc>
          <w:tcPr>
            <w:tcW w:type="dxa" w:w="3084"/>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Nom du cas d'usage</w:t>
            </w:r>
          </w:p>
        </w:tc>
        <w:tc>
          <w:tcPr>
            <w:tcW w:type="dxa" w:w="6554"/>
            <w:tcMar>
              <w:top w:type="dxa" w:w="80"/>
              <w:left w:type="dxa" w:w="110"/>
              <w:bottom w:type="dxa" w:w="80"/>
              <w:right w:type="dxa" w:w="110"/>
            </w:tcMar>
            <w:vAlign w:val="top"/>
          </w:tcPr>
          <w:p>
            <w:pPr>
              <w:spacing w:after="40" w:line="260"/>
            </w:pPr>
          </w:p>
        </w:tc>
      </w:tr>
      <w:tr>
        <w:trPr>
          <w:cantSplit/>
          <w:tblHeader w:val="false"/>
        </w:trPr>
        <w:tc>
          <w:tcPr>
            <w:tcW w:type="dxa" w:w="3084"/>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Direction et métier concernés</w:t>
            </w:r>
          </w:p>
        </w:tc>
        <w:tc>
          <w:tcPr>
            <w:tcW w:type="dxa" w:w="6554"/>
            <w:tcMar>
              <w:top w:type="dxa" w:w="80"/>
              <w:left w:type="dxa" w:w="110"/>
              <w:bottom w:type="dxa" w:w="80"/>
              <w:right w:type="dxa" w:w="110"/>
            </w:tcMar>
            <w:vAlign w:val="top"/>
          </w:tcPr>
          <w:p>
            <w:pPr>
              <w:spacing w:after="40" w:line="260"/>
            </w:pPr>
          </w:p>
        </w:tc>
      </w:tr>
      <w:tr>
        <w:trPr>
          <w:cantSplit/>
          <w:tblHeader w:val="false"/>
        </w:trPr>
        <w:tc>
          <w:tcPr>
            <w:tcW w:type="dxa" w:w="3084"/>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Porteur (nom, fonction)</w:t>
            </w:r>
          </w:p>
        </w:tc>
        <w:tc>
          <w:tcPr>
            <w:tcW w:type="dxa" w:w="6554"/>
            <w:tcMar>
              <w:top w:type="dxa" w:w="80"/>
              <w:left w:type="dxa" w:w="110"/>
              <w:bottom w:type="dxa" w:w="80"/>
              <w:right w:type="dxa" w:w="110"/>
            </w:tcMar>
            <w:vAlign w:val="top"/>
          </w:tcPr>
          <w:p>
            <w:pPr>
              <w:spacing w:after="40" w:line="260"/>
            </w:pPr>
          </w:p>
        </w:tc>
      </w:tr>
      <w:tr>
        <w:trPr>
          <w:cantSplit/>
          <w:tblHeader w:val="false"/>
        </w:trPr>
        <w:tc>
          <w:tcPr>
            <w:tcW w:type="dxa" w:w="3084"/>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Niveau (1 prompt / 2 assistant / 3 agent / 4 cowork)</w:t>
            </w:r>
          </w:p>
        </w:tc>
        <w:tc>
          <w:tcPr>
            <w:tcW w:type="dxa" w:w="6554"/>
            <w:tcMar>
              <w:top w:type="dxa" w:w="80"/>
              <w:left w:type="dxa" w:w="110"/>
              <w:bottom w:type="dxa" w:w="80"/>
              <w:right w:type="dxa" w:w="110"/>
            </w:tcMar>
            <w:vAlign w:val="top"/>
          </w:tcPr>
          <w:p>
            <w:pPr>
              <w:spacing w:after="40" w:line="260"/>
            </w:pPr>
          </w:p>
        </w:tc>
      </w:tr>
      <w:tr>
        <w:trPr>
          <w:cantSplit/>
          <w:tblHeader w:val="false"/>
        </w:trPr>
        <w:tc>
          <w:tcPr>
            <w:tcW w:type="dxa" w:w="3084"/>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Tâche actuelle : qui fait quoi, combien de fois, en combien de temps</w:t>
            </w:r>
          </w:p>
        </w:tc>
        <w:tc>
          <w:tcPr>
            <w:tcW w:type="dxa" w:w="6554"/>
            <w:tcMar>
              <w:top w:type="dxa" w:w="80"/>
              <w:left w:type="dxa" w:w="110"/>
              <w:bottom w:type="dxa" w:w="80"/>
              <w:right w:type="dxa" w:w="110"/>
            </w:tcMar>
            <w:vAlign w:val="top"/>
          </w:tcPr>
          <w:p>
            <w:pPr>
              <w:spacing w:after="40" w:line="260"/>
            </w:pPr>
          </w:p>
        </w:tc>
      </w:tr>
      <w:tr>
        <w:trPr>
          <w:cantSplit/>
          <w:tblHeader w:val="false"/>
        </w:trPr>
        <w:tc>
          <w:tcPr>
            <w:tcW w:type="dxa" w:w="3084"/>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Ce que l'IA ferait, et ce que l'humain garde</w:t>
            </w:r>
          </w:p>
        </w:tc>
        <w:tc>
          <w:tcPr>
            <w:tcW w:type="dxa" w:w="6554"/>
            <w:tcMar>
              <w:top w:type="dxa" w:w="80"/>
              <w:left w:type="dxa" w:w="110"/>
              <w:bottom w:type="dxa" w:w="80"/>
              <w:right w:type="dxa" w:w="110"/>
            </w:tcMar>
            <w:vAlign w:val="top"/>
          </w:tcPr>
          <w:p>
            <w:pPr>
              <w:spacing w:after="40" w:line="260"/>
            </w:pPr>
          </w:p>
        </w:tc>
      </w:tr>
      <w:tr>
        <w:trPr>
          <w:cantSplit/>
          <w:tblHeader w:val="false"/>
        </w:trPr>
        <w:tc>
          <w:tcPr>
            <w:tcW w:type="dxa" w:w="3084"/>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Données utilisées et leur classification</w:t>
            </w:r>
          </w:p>
        </w:tc>
        <w:tc>
          <w:tcPr>
            <w:tcW w:type="dxa" w:w="6554"/>
            <w:tcMar>
              <w:top w:type="dxa" w:w="80"/>
              <w:left w:type="dxa" w:w="110"/>
              <w:bottom w:type="dxa" w:w="80"/>
              <w:right w:type="dxa" w:w="110"/>
            </w:tcMar>
            <w:vAlign w:val="top"/>
          </w:tcPr>
          <w:p>
            <w:pPr>
              <w:spacing w:after="40" w:line="260"/>
            </w:pPr>
          </w:p>
        </w:tc>
      </w:tr>
      <w:tr>
        <w:trPr>
          <w:cantSplit/>
          <w:tblHeader w:val="false"/>
        </w:trPr>
        <w:tc>
          <w:tcPr>
            <w:tcW w:type="dxa" w:w="3084"/>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Outil pressenti</w:t>
            </w:r>
          </w:p>
        </w:tc>
        <w:tc>
          <w:tcPr>
            <w:tcW w:type="dxa" w:w="6554"/>
            <w:tcMar>
              <w:top w:type="dxa" w:w="80"/>
              <w:left w:type="dxa" w:w="110"/>
              <w:bottom w:type="dxa" w:w="80"/>
              <w:right w:type="dxa" w:w="110"/>
            </w:tcMar>
            <w:vAlign w:val="top"/>
          </w:tcPr>
          <w:p>
            <w:pPr>
              <w:spacing w:after="40" w:line="260"/>
            </w:pPr>
          </w:p>
        </w:tc>
      </w:tr>
      <w:tr>
        <w:trPr>
          <w:cantSplit/>
          <w:tblHeader w:val="false"/>
        </w:trPr>
        <w:tc>
          <w:tcPr>
            <w:tcW w:type="dxa" w:w="3084"/>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Nombre de personnes concernées</w:t>
            </w:r>
          </w:p>
        </w:tc>
        <w:tc>
          <w:tcPr>
            <w:tcW w:type="dxa" w:w="6554"/>
            <w:tcMar>
              <w:top w:type="dxa" w:w="80"/>
              <w:left w:type="dxa" w:w="110"/>
              <w:bottom w:type="dxa" w:w="80"/>
              <w:right w:type="dxa" w:w="110"/>
            </w:tcMar>
            <w:vAlign w:val="top"/>
          </w:tcPr>
          <w:p>
            <w:pPr>
              <w:spacing w:after="40" w:line="260"/>
            </w:pPr>
          </w:p>
        </w:tc>
      </w:tr>
      <w:tr>
        <w:trPr>
          <w:cantSplit/>
          <w:tblHeader w:val="false"/>
        </w:trPr>
        <w:tc>
          <w:tcPr>
            <w:tcW w:type="dxa" w:w="3084"/>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Valeur (1 à 5) et justification</w:t>
            </w:r>
          </w:p>
        </w:tc>
        <w:tc>
          <w:tcPr>
            <w:tcW w:type="dxa" w:w="6554"/>
            <w:tcMar>
              <w:top w:type="dxa" w:w="80"/>
              <w:left w:type="dxa" w:w="110"/>
              <w:bottom w:type="dxa" w:w="80"/>
              <w:right w:type="dxa" w:w="110"/>
            </w:tcMar>
            <w:vAlign w:val="top"/>
          </w:tcPr>
          <w:p>
            <w:pPr>
              <w:spacing w:after="40" w:line="260"/>
            </w:pPr>
          </w:p>
        </w:tc>
      </w:tr>
      <w:tr>
        <w:trPr>
          <w:cantSplit/>
          <w:tblHeader w:val="false"/>
        </w:trPr>
        <w:tc>
          <w:tcPr>
            <w:tcW w:type="dxa" w:w="3084"/>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Facilité (1 à 5) et justification</w:t>
            </w:r>
          </w:p>
        </w:tc>
        <w:tc>
          <w:tcPr>
            <w:tcW w:type="dxa" w:w="6554"/>
            <w:tcMar>
              <w:top w:type="dxa" w:w="80"/>
              <w:left w:type="dxa" w:w="110"/>
              <w:bottom w:type="dxa" w:w="80"/>
              <w:right w:type="dxa" w:w="110"/>
            </w:tcMar>
            <w:vAlign w:val="top"/>
          </w:tcPr>
          <w:p>
            <w:pPr>
              <w:spacing w:after="40" w:line="260"/>
            </w:pPr>
          </w:p>
        </w:tc>
      </w:tr>
      <w:tr>
        <w:trPr>
          <w:cantSplit/>
          <w:tblHeader w:val="false"/>
        </w:trPr>
        <w:tc>
          <w:tcPr>
            <w:tcW w:type="dxa" w:w="3084"/>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Risques identifiés et avis d'expert nécessaire (sécurité, DPO, juridique, social)</w:t>
            </w:r>
          </w:p>
        </w:tc>
        <w:tc>
          <w:tcPr>
            <w:tcW w:type="dxa" w:w="6554"/>
            <w:tcMar>
              <w:top w:type="dxa" w:w="80"/>
              <w:left w:type="dxa" w:w="110"/>
              <w:bottom w:type="dxa" w:w="80"/>
              <w:right w:type="dxa" w:w="110"/>
            </w:tcMar>
            <w:vAlign w:val="top"/>
          </w:tcPr>
          <w:p>
            <w:pPr>
              <w:spacing w:after="40" w:line="260"/>
            </w:pPr>
          </w:p>
        </w:tc>
      </w:tr>
      <w:tr>
        <w:trPr>
          <w:cantSplit/>
          <w:tblHeader w:val="false"/>
        </w:trPr>
        <w:tc>
          <w:tcPr>
            <w:tcW w:type="dxa" w:w="3084"/>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Indicateur de succès proposé</w:t>
            </w:r>
          </w:p>
        </w:tc>
        <w:tc>
          <w:tcPr>
            <w:tcW w:type="dxa" w:w="6554"/>
            <w:tcMar>
              <w:top w:type="dxa" w:w="80"/>
              <w:left w:type="dxa" w:w="110"/>
              <w:bottom w:type="dxa" w:w="80"/>
              <w:right w:type="dxa" w:w="110"/>
            </w:tcMar>
            <w:vAlign w:val="top"/>
          </w:tcPr>
          <w:p>
            <w:pPr>
              <w:spacing w:after="40" w:line="260"/>
            </w:pPr>
          </w:p>
        </w:tc>
      </w:tr>
      <w:tr>
        <w:trPr>
          <w:cantSplit/>
          <w:tblHeader w:val="false"/>
        </w:trPr>
        <w:tc>
          <w:tcPr>
            <w:tcW w:type="dxa" w:w="3084"/>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Décision du comité (quick win / projet structurant / complément / écarté) et date</w:t>
            </w:r>
          </w:p>
        </w:tc>
        <w:tc>
          <w:tcPr>
            <w:tcW w:type="dxa" w:w="6554"/>
            <w:tcMar>
              <w:top w:type="dxa" w:w="80"/>
              <w:left w:type="dxa" w:w="110"/>
              <w:bottom w:type="dxa" w:w="80"/>
              <w:right w:type="dxa" w:w="110"/>
            </w:tcMar>
            <w:vAlign w:val="top"/>
          </w:tcPr>
          <w:p>
            <w:pPr>
              <w:spacing w:after="40" w:line="260"/>
            </w:pPr>
          </w:p>
        </w:tc>
      </w:tr>
      <w:tr>
        <w:trPr>
          <w:cantSplit/>
          <w:tblHeader w:val="false"/>
        </w:trPr>
        <w:tc>
          <w:tcPr>
            <w:tcW w:type="dxa" w:w="3084"/>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Motif de la décision</w:t>
            </w:r>
          </w:p>
        </w:tc>
        <w:tc>
          <w:tcPr>
            <w:tcW w:type="dxa" w:w="6554"/>
            <w:tcMar>
              <w:top w:type="dxa" w:w="80"/>
              <w:left w:type="dxa" w:w="110"/>
              <w:bottom w:type="dxa" w:w="80"/>
              <w:right w:type="dxa" w:w="110"/>
            </w:tcMar>
            <w:vAlign w:val="top"/>
          </w:tcPr>
          <w:p>
            <w:pPr>
              <w:spacing w:after="40" w:line="260"/>
            </w:pPr>
          </w:p>
        </w:tc>
      </w:tr>
    </w:tbl>
    <w:p>
      <w:pPr>
        <w:pStyle w:val="Heading1"/>
        <w:pageBreakBefore/>
        <w:spacing w:after="240" w:before="0"/>
      </w:pPr>
      <w:r>
        <w:rPr>
          <w:rFonts w:ascii="Calibri" w:cs="Calibri" w:eastAsia="Calibri" w:hAnsi="Calibri"/>
        </w:rPr>
        <w:t xml:space="preserve">Annexe C. Fiche de cadrage d'un pilote</w:t>
      </w:r>
    </w:p>
    <w:p>
      <w:pPr>
        <w:spacing w:after="140" w:before="0" w:line="276"/>
      </w:pPr>
      <w:r>
        <w:rPr>
          <w:rFonts w:ascii="Calibri" w:cs="Calibri" w:eastAsia="Calibri" w:hAnsi="Calibri"/>
        </w:rPr>
        <w:t xml:space="preserve">À remplir pour chaque projet structurant avant son lancement, et à signer par le porteur et le sponsor. Durée type : six à huit semaines.</w:t>
      </w:r>
    </w:p>
    <w:tbl>
      <w:tblPr>
        <w:tblW w:type="dxa" w:w="9638"/>
        <w:tblBorders>
          <w:top w:val="single" w:color="C9D3E0" w:sz="4"/>
          <w:left w:val="single" w:color="C9D3E0" w:sz="4"/>
          <w:bottom w:val="single" w:color="C9D3E0" w:sz="4"/>
          <w:right w:val="single" w:color="C9D3E0" w:sz="4"/>
          <w:insideH w:val="single" w:color="C9D3E0" w:sz="4"/>
          <w:insideV w:val="single" w:color="C9D3E0" w:sz="4"/>
        </w:tblBorders>
      </w:tblPr>
      <w:tblGrid>
        <w:gridCol w:w="3084"/>
        <w:gridCol w:w="6554"/>
      </w:tblGrid>
      <w:tr>
        <w:trPr>
          <w:cantSplit/>
          <w:tblHeader/>
        </w:trPr>
        <w:tc>
          <w:tcPr>
            <w:tcW w:type="dxa" w:w="3084"/>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Champ</w:t>
            </w:r>
          </w:p>
        </w:tc>
        <w:tc>
          <w:tcPr>
            <w:tcW w:type="dxa" w:w="6554"/>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À compléter</w:t>
            </w:r>
          </w:p>
        </w:tc>
      </w:tr>
      <w:tr>
        <w:trPr>
          <w:cantSplit/>
          <w:tblHeader w:val="false"/>
        </w:trPr>
        <w:tc>
          <w:tcPr>
            <w:tcW w:type="dxa" w:w="3084"/>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Nom du pilote</w:t>
            </w:r>
          </w:p>
        </w:tc>
        <w:tc>
          <w:tcPr>
            <w:tcW w:type="dxa" w:w="6554"/>
            <w:tcMar>
              <w:top w:type="dxa" w:w="80"/>
              <w:left w:type="dxa" w:w="110"/>
              <w:bottom w:type="dxa" w:w="80"/>
              <w:right w:type="dxa" w:w="110"/>
            </w:tcMar>
            <w:vAlign w:val="top"/>
          </w:tcPr>
          <w:p>
            <w:pPr>
              <w:spacing w:after="40" w:line="260"/>
            </w:pPr>
          </w:p>
        </w:tc>
      </w:tr>
      <w:tr>
        <w:trPr>
          <w:cantSplit/>
          <w:tblHeader w:val="false"/>
        </w:trPr>
        <w:tc>
          <w:tcPr>
            <w:tcW w:type="dxa" w:w="3084"/>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Porteur métier et temps engagé par semaine</w:t>
            </w:r>
          </w:p>
        </w:tc>
        <w:tc>
          <w:tcPr>
            <w:tcW w:type="dxa" w:w="6554"/>
            <w:tcMar>
              <w:top w:type="dxa" w:w="80"/>
              <w:left w:type="dxa" w:w="110"/>
              <w:bottom w:type="dxa" w:w="80"/>
              <w:right w:type="dxa" w:w="110"/>
            </w:tcMar>
            <w:vAlign w:val="top"/>
          </w:tcPr>
          <w:p>
            <w:pPr>
              <w:spacing w:after="40" w:line="260"/>
            </w:pPr>
          </w:p>
        </w:tc>
      </w:tr>
      <w:tr>
        <w:trPr>
          <w:cantSplit/>
          <w:tblHeader w:val="false"/>
        </w:trPr>
        <w:tc>
          <w:tcPr>
            <w:tcW w:type="dxa" w:w="3084"/>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Sponsor</w:t>
            </w:r>
          </w:p>
        </w:tc>
        <w:tc>
          <w:tcPr>
            <w:tcW w:type="dxa" w:w="6554"/>
            <w:tcMar>
              <w:top w:type="dxa" w:w="80"/>
              <w:left w:type="dxa" w:w="110"/>
              <w:bottom w:type="dxa" w:w="80"/>
              <w:right w:type="dxa" w:w="110"/>
            </w:tcMar>
            <w:vAlign w:val="top"/>
          </w:tcPr>
          <w:p>
            <w:pPr>
              <w:spacing w:after="40" w:line="260"/>
            </w:pPr>
          </w:p>
        </w:tc>
      </w:tr>
      <w:tr>
        <w:trPr>
          <w:cantSplit/>
          <w:tblHeader w:val="false"/>
        </w:trPr>
        <w:tc>
          <w:tcPr>
            <w:tcW w:type="dxa" w:w="3084"/>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Objectif en une phrase</w:t>
            </w:r>
          </w:p>
        </w:tc>
        <w:tc>
          <w:tcPr>
            <w:tcW w:type="dxa" w:w="6554"/>
            <w:tcMar>
              <w:top w:type="dxa" w:w="80"/>
              <w:left w:type="dxa" w:w="110"/>
              <w:bottom w:type="dxa" w:w="80"/>
              <w:right w:type="dxa" w:w="110"/>
            </w:tcMar>
            <w:vAlign w:val="top"/>
          </w:tcPr>
          <w:p>
            <w:pPr>
              <w:spacing w:after="40" w:line="260"/>
            </w:pPr>
          </w:p>
        </w:tc>
      </w:tr>
      <w:tr>
        <w:trPr>
          <w:cantSplit/>
          <w:tblHeader w:val="false"/>
        </w:trPr>
        <w:tc>
          <w:tcPr>
            <w:tcW w:type="dxa" w:w="3084"/>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Périmètre de test (équipe, processus, volume)</w:t>
            </w:r>
          </w:p>
        </w:tc>
        <w:tc>
          <w:tcPr>
            <w:tcW w:type="dxa" w:w="6554"/>
            <w:tcMar>
              <w:top w:type="dxa" w:w="80"/>
              <w:left w:type="dxa" w:w="110"/>
              <w:bottom w:type="dxa" w:w="80"/>
              <w:right w:type="dxa" w:w="110"/>
            </w:tcMar>
            <w:vAlign w:val="top"/>
          </w:tcPr>
          <w:p>
            <w:pPr>
              <w:spacing w:after="40" w:line="260"/>
            </w:pPr>
          </w:p>
        </w:tc>
      </w:tr>
      <w:tr>
        <w:trPr>
          <w:cantSplit/>
          <w:tblHeader w:val="false"/>
        </w:trPr>
        <w:tc>
          <w:tcPr>
            <w:tcW w:type="dxa" w:w="3084"/>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Dates de début et de fin</w:t>
            </w:r>
          </w:p>
        </w:tc>
        <w:tc>
          <w:tcPr>
            <w:tcW w:type="dxa" w:w="6554"/>
            <w:tcMar>
              <w:top w:type="dxa" w:w="80"/>
              <w:left w:type="dxa" w:w="110"/>
              <w:bottom w:type="dxa" w:w="80"/>
              <w:right w:type="dxa" w:w="110"/>
            </w:tcMar>
            <w:vAlign w:val="top"/>
          </w:tcPr>
          <w:p>
            <w:pPr>
              <w:spacing w:after="40" w:line="260"/>
            </w:pPr>
          </w:p>
        </w:tc>
      </w:tr>
      <w:tr>
        <w:trPr>
          <w:cantSplit/>
          <w:tblHeader w:val="false"/>
        </w:trPr>
        <w:tc>
          <w:tcPr>
            <w:tcW w:type="dxa" w:w="3084"/>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Utilisateurs du pilote (nombre, profils) et formation prévue</w:t>
            </w:r>
          </w:p>
        </w:tc>
        <w:tc>
          <w:tcPr>
            <w:tcW w:type="dxa" w:w="6554"/>
            <w:tcMar>
              <w:top w:type="dxa" w:w="80"/>
              <w:left w:type="dxa" w:w="110"/>
              <w:bottom w:type="dxa" w:w="80"/>
              <w:right w:type="dxa" w:w="110"/>
            </w:tcMar>
            <w:vAlign w:val="top"/>
          </w:tcPr>
          <w:p>
            <w:pPr>
              <w:spacing w:after="40" w:line="260"/>
            </w:pPr>
          </w:p>
        </w:tc>
      </w:tr>
      <w:tr>
        <w:trPr>
          <w:cantSplit/>
          <w:tblHeader w:val="false"/>
        </w:trPr>
        <w:tc>
          <w:tcPr>
            <w:tcW w:type="dxa" w:w="3084"/>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Outils, licences et accès nécessaires</w:t>
            </w:r>
          </w:p>
        </w:tc>
        <w:tc>
          <w:tcPr>
            <w:tcW w:type="dxa" w:w="6554"/>
            <w:tcMar>
              <w:top w:type="dxa" w:w="80"/>
              <w:left w:type="dxa" w:w="110"/>
              <w:bottom w:type="dxa" w:w="80"/>
              <w:right w:type="dxa" w:w="110"/>
            </w:tcMar>
            <w:vAlign w:val="top"/>
          </w:tcPr>
          <w:p>
            <w:pPr>
              <w:spacing w:after="40" w:line="260"/>
            </w:pPr>
          </w:p>
        </w:tc>
      </w:tr>
      <w:tr>
        <w:trPr>
          <w:cantSplit/>
          <w:tblHeader w:val="false"/>
        </w:trPr>
        <w:tc>
          <w:tcPr>
            <w:tcW w:type="dxa" w:w="3084"/>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Données mobilisées, classification, validation obtenue (RSSI / DPO / juridique)</w:t>
            </w:r>
          </w:p>
        </w:tc>
        <w:tc>
          <w:tcPr>
            <w:tcW w:type="dxa" w:w="6554"/>
            <w:tcMar>
              <w:top w:type="dxa" w:w="80"/>
              <w:left w:type="dxa" w:w="110"/>
              <w:bottom w:type="dxa" w:w="80"/>
              <w:right w:type="dxa" w:w="110"/>
            </w:tcMar>
            <w:vAlign w:val="top"/>
          </w:tcPr>
          <w:p>
            <w:pPr>
              <w:spacing w:after="40" w:line="260"/>
            </w:pPr>
          </w:p>
        </w:tc>
      </w:tr>
      <w:tr>
        <w:trPr>
          <w:cantSplit/>
          <w:tblHeader w:val="false"/>
        </w:trPr>
        <w:tc>
          <w:tcPr>
            <w:tcW w:type="dxa" w:w="3084"/>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Indicateur d'usage : valeur de départ et cible</w:t>
            </w:r>
          </w:p>
        </w:tc>
        <w:tc>
          <w:tcPr>
            <w:tcW w:type="dxa" w:w="6554"/>
            <w:tcMar>
              <w:top w:type="dxa" w:w="80"/>
              <w:left w:type="dxa" w:w="110"/>
              <w:bottom w:type="dxa" w:w="80"/>
              <w:right w:type="dxa" w:w="110"/>
            </w:tcMar>
            <w:vAlign w:val="top"/>
          </w:tcPr>
          <w:p>
            <w:pPr>
              <w:spacing w:after="40" w:line="260"/>
            </w:pPr>
          </w:p>
        </w:tc>
      </w:tr>
      <w:tr>
        <w:trPr>
          <w:cantSplit/>
          <w:tblHeader w:val="false"/>
        </w:trPr>
        <w:tc>
          <w:tcPr>
            <w:tcW w:type="dxa" w:w="3084"/>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Indicateur de valeur : valeur de départ et cible, méthode de mesure</w:t>
            </w:r>
          </w:p>
        </w:tc>
        <w:tc>
          <w:tcPr>
            <w:tcW w:type="dxa" w:w="6554"/>
            <w:tcMar>
              <w:top w:type="dxa" w:w="80"/>
              <w:left w:type="dxa" w:w="110"/>
              <w:bottom w:type="dxa" w:w="80"/>
              <w:right w:type="dxa" w:w="110"/>
            </w:tcMar>
            <w:vAlign w:val="top"/>
          </w:tcPr>
          <w:p>
            <w:pPr>
              <w:spacing w:after="40" w:line="260"/>
            </w:pPr>
          </w:p>
        </w:tc>
      </w:tr>
      <w:tr>
        <w:trPr>
          <w:cantSplit/>
          <w:tblHeader w:val="false"/>
        </w:trPr>
        <w:tc>
          <w:tcPr>
            <w:tcW w:type="dxa" w:w="3084"/>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Indicateur de qualité ou de risque : valeur de départ et cible</w:t>
            </w:r>
          </w:p>
        </w:tc>
        <w:tc>
          <w:tcPr>
            <w:tcW w:type="dxa" w:w="6554"/>
            <w:tcMar>
              <w:top w:type="dxa" w:w="80"/>
              <w:left w:type="dxa" w:w="110"/>
              <w:bottom w:type="dxa" w:w="80"/>
              <w:right w:type="dxa" w:w="110"/>
            </w:tcMar>
            <w:vAlign w:val="top"/>
          </w:tcPr>
          <w:p>
            <w:pPr>
              <w:spacing w:after="40" w:line="260"/>
            </w:pPr>
          </w:p>
        </w:tc>
      </w:tr>
      <w:tr>
        <w:trPr>
          <w:cantSplit/>
          <w:tblHeader w:val="false"/>
        </w:trPr>
        <w:tc>
          <w:tcPr>
            <w:tcW w:type="dxa" w:w="3084"/>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Règles de relecture et de validation des livrables générés</w:t>
            </w:r>
          </w:p>
        </w:tc>
        <w:tc>
          <w:tcPr>
            <w:tcW w:type="dxa" w:w="6554"/>
            <w:tcMar>
              <w:top w:type="dxa" w:w="80"/>
              <w:left w:type="dxa" w:w="110"/>
              <w:bottom w:type="dxa" w:w="80"/>
              <w:right w:type="dxa" w:w="110"/>
            </w:tcMar>
            <w:vAlign w:val="top"/>
          </w:tcPr>
          <w:p>
            <w:pPr>
              <w:spacing w:after="40" w:line="260"/>
            </w:pPr>
          </w:p>
        </w:tc>
      </w:tr>
      <w:tr>
        <w:trPr>
          <w:cantSplit/>
          <w:tblHeader w:val="false"/>
        </w:trPr>
        <w:tc>
          <w:tcPr>
            <w:tcW w:type="dxa" w:w="3084"/>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Scénario si succès (généralisation : où, quand, avec quels moyens)</w:t>
            </w:r>
          </w:p>
        </w:tc>
        <w:tc>
          <w:tcPr>
            <w:tcW w:type="dxa" w:w="6554"/>
            <w:tcMar>
              <w:top w:type="dxa" w:w="80"/>
              <w:left w:type="dxa" w:w="110"/>
              <w:bottom w:type="dxa" w:w="80"/>
              <w:right w:type="dxa" w:w="110"/>
            </w:tcMar>
            <w:vAlign w:val="top"/>
          </w:tcPr>
          <w:p>
            <w:pPr>
              <w:spacing w:after="40" w:line="260"/>
            </w:pPr>
          </w:p>
        </w:tc>
      </w:tr>
      <w:tr>
        <w:trPr>
          <w:cantSplit/>
          <w:tblHeader w:val="false"/>
        </w:trPr>
        <w:tc>
          <w:tcPr>
            <w:tcW w:type="dxa" w:w="3084"/>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Scénario si échec (arrêt, enseignements, réorientation)</w:t>
            </w:r>
          </w:p>
        </w:tc>
        <w:tc>
          <w:tcPr>
            <w:tcW w:type="dxa" w:w="6554"/>
            <w:tcMar>
              <w:top w:type="dxa" w:w="80"/>
              <w:left w:type="dxa" w:w="110"/>
              <w:bottom w:type="dxa" w:w="80"/>
              <w:right w:type="dxa" w:w="110"/>
            </w:tcMar>
            <w:vAlign w:val="top"/>
          </w:tcPr>
          <w:p>
            <w:pPr>
              <w:spacing w:after="40" w:line="260"/>
            </w:pPr>
          </w:p>
        </w:tc>
      </w:tr>
      <w:tr>
        <w:trPr>
          <w:cantSplit/>
          <w:tblHeader w:val="false"/>
        </w:trPr>
        <w:tc>
          <w:tcPr>
            <w:tcW w:type="dxa" w:w="3084"/>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Signatures et date</w:t>
            </w:r>
          </w:p>
        </w:tc>
        <w:tc>
          <w:tcPr>
            <w:tcW w:type="dxa" w:w="6554"/>
            <w:tcMar>
              <w:top w:type="dxa" w:w="80"/>
              <w:left w:type="dxa" w:w="110"/>
              <w:bottom w:type="dxa" w:w="80"/>
              <w:right w:type="dxa" w:w="110"/>
            </w:tcMar>
            <w:vAlign w:val="top"/>
          </w:tcPr>
          <w:p>
            <w:pPr>
              <w:spacing w:after="40" w:line="260"/>
            </w:pPr>
          </w:p>
        </w:tc>
      </w:tr>
    </w:tbl>
    <w:p>
      <w:pPr>
        <w:pStyle w:val="Heading1"/>
        <w:pageBreakBefore/>
        <w:spacing w:after="240" w:before="0"/>
      </w:pPr>
      <w:r>
        <w:rPr>
          <w:rFonts w:ascii="Calibri" w:cs="Calibri" w:eastAsia="Calibri" w:hAnsi="Calibri"/>
        </w:rPr>
        <w:t xml:space="preserve">Annexe D. Ordre du jour du comité IA mensuel</w:t>
      </w:r>
    </w:p>
    <w:p>
      <w:pPr>
        <w:spacing w:after="140" w:before="0" w:line="276"/>
      </w:pPr>
      <w:r>
        <w:rPr>
          <w:rFonts w:ascii="Calibri" w:cs="Calibri" w:eastAsia="Calibri" w:hAnsi="Calibri"/>
        </w:rPr>
        <w:t xml:space="preserve">Une heure, préparée par le référent, avec un support de cinq pages au maximum envoyé la veille. Les décisions sont notées en séance et diffusées le jour même.</w:t>
      </w:r>
    </w:p>
    <w:tbl>
      <w:tblPr>
        <w:tblW w:type="dxa" w:w="9638"/>
        <w:tblBorders>
          <w:top w:val="single" w:color="C9D3E0" w:sz="4"/>
          <w:left w:val="single" w:color="C9D3E0" w:sz="4"/>
          <w:bottom w:val="single" w:color="C9D3E0" w:sz="4"/>
          <w:right w:val="single" w:color="C9D3E0" w:sz="4"/>
          <w:insideH w:val="single" w:color="C9D3E0" w:sz="4"/>
          <w:insideV w:val="single" w:color="C9D3E0" w:sz="4"/>
        </w:tblBorders>
      </w:tblPr>
      <w:tblGrid>
        <w:gridCol w:w="1157"/>
        <w:gridCol w:w="4626"/>
        <w:gridCol w:w="3855"/>
      </w:tblGrid>
      <w:tr>
        <w:trPr>
          <w:cantSplit/>
          <w:tblHeader/>
        </w:trPr>
        <w:tc>
          <w:tcPr>
            <w:tcW w:type="dxa" w:w="1157"/>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Durée</w:t>
            </w:r>
          </w:p>
        </w:tc>
        <w:tc>
          <w:tcPr>
            <w:tcW w:type="dxa" w:w="4626"/>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Point</w:t>
            </w:r>
          </w:p>
        </w:tc>
        <w:tc>
          <w:tcPr>
            <w:tcW w:type="dxa" w:w="3855"/>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Attendu</w:t>
            </w:r>
          </w:p>
        </w:tc>
      </w:tr>
      <w:tr>
        <w:trPr>
          <w:cantSplit/>
          <w:tblHeader w:val="false"/>
        </w:trPr>
        <w:tc>
          <w:tcPr>
            <w:tcW w:type="dxa" w:w="1157"/>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5 min</w:t>
            </w:r>
          </w:p>
        </w:tc>
        <w:tc>
          <w:tcPr>
            <w:tcW w:type="dxa" w:w="4626"/>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Indicateurs du mois (adoption, usage, valeur, qualité et risque)</w:t>
            </w:r>
          </w:p>
        </w:tc>
        <w:tc>
          <w:tcPr>
            <w:tcW w:type="dxa" w:w="3855"/>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Prise de connaissance, écarts commentés</w:t>
            </w:r>
          </w:p>
        </w:tc>
      </w:tr>
      <w:tr>
        <w:trPr>
          <w:cantSplit/>
          <w:tblHeader w:val="false"/>
        </w:trPr>
        <w:tc>
          <w:tcPr>
            <w:tcW w:type="dxa" w:w="1157"/>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15 min</w:t>
            </w:r>
          </w:p>
        </w:tc>
        <w:tc>
          <w:tcPr>
            <w:tcW w:type="dxa" w:w="4626"/>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Avancement des pilotes et projets en cours</w:t>
            </w:r>
          </w:p>
        </w:tc>
        <w:tc>
          <w:tcPr>
            <w:tcW w:type="dxa" w:w="3855"/>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Décisions : poursuivre, ajuster, arrêter</w:t>
            </w:r>
          </w:p>
        </w:tc>
      </w:tr>
      <w:tr>
        <w:trPr>
          <w:cantSplit/>
          <w:tblHeader w:val="false"/>
        </w:trPr>
        <w:tc>
          <w:tcPr>
            <w:tcW w:type="dxa" w:w="1157"/>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15 min</w:t>
            </w:r>
          </w:p>
        </w:tc>
        <w:tc>
          <w:tcPr>
            <w:tcW w:type="dxa" w:w="4626"/>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Backlog : nouveaux cas d'usage proposés, cas à arbitrer</w:t>
            </w:r>
          </w:p>
        </w:tc>
        <w:tc>
          <w:tcPr>
            <w:tcW w:type="dxa" w:w="3855"/>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Classement et décision pour chaque cas</w:t>
            </w:r>
          </w:p>
        </w:tc>
      </w:tr>
      <w:tr>
        <w:trPr>
          <w:cantSplit/>
          <w:tblHeader w:val="false"/>
        </w:trPr>
        <w:tc>
          <w:tcPr>
            <w:tcW w:type="dxa" w:w="1157"/>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10 min</w:t>
            </w:r>
          </w:p>
        </w:tc>
        <w:tc>
          <w:tcPr>
            <w:tcW w:type="dxa" w:w="4626"/>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Formation : sessions réalisées, à venir, taux de participation</w:t>
            </w:r>
          </w:p>
        </w:tc>
        <w:tc>
          <w:tcPr>
            <w:tcW w:type="dxa" w:w="3855"/>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Ajustement du plan</w:t>
            </w:r>
          </w:p>
        </w:tc>
      </w:tr>
      <w:tr>
        <w:trPr>
          <w:cantSplit/>
          <w:tblHeader w:val="false"/>
        </w:trPr>
        <w:tc>
          <w:tcPr>
            <w:tcW w:type="dxa" w:w="1157"/>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5 min</w:t>
            </w:r>
          </w:p>
        </w:tc>
        <w:tc>
          <w:tcPr>
            <w:tcW w:type="dxa" w:w="4626"/>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Incidents, questions de conformité, retours du cercle des experts</w:t>
            </w:r>
          </w:p>
        </w:tc>
        <w:tc>
          <w:tcPr>
            <w:tcW w:type="dxa" w:w="3855"/>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Actions correctives</w:t>
            </w:r>
          </w:p>
        </w:tc>
      </w:tr>
      <w:tr>
        <w:trPr>
          <w:cantSplit/>
          <w:tblHeader w:val="false"/>
        </w:trPr>
        <w:tc>
          <w:tcPr>
            <w:tcW w:type="dxa" w:w="1157"/>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5 min</w:t>
            </w:r>
          </w:p>
        </w:tc>
        <w:tc>
          <w:tcPr>
            <w:tcW w:type="dxa" w:w="4626"/>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Parole à l'ambassadeur invité : ce qui marche, ce qui bloque dans les équipes</w:t>
            </w:r>
          </w:p>
        </w:tc>
        <w:tc>
          <w:tcPr>
            <w:tcW w:type="dxa" w:w="3855"/>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Signaux faibles</w:t>
            </w:r>
          </w:p>
        </w:tc>
      </w:tr>
      <w:tr>
        <w:trPr>
          <w:cantSplit/>
          <w:tblHeader w:val="false"/>
        </w:trPr>
        <w:tc>
          <w:tcPr>
            <w:tcW w:type="dxa" w:w="1157"/>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5 min</w:t>
            </w:r>
          </w:p>
        </w:tc>
        <w:tc>
          <w:tcPr>
            <w:tcW w:type="dxa" w:w="4626"/>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Relevé de décisions et actions, avec responsable et échéance</w:t>
            </w:r>
          </w:p>
        </w:tc>
        <w:tc>
          <w:tcPr>
            <w:tcW w:type="dxa" w:w="3855"/>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Diffusion le jour même</w:t>
            </w:r>
          </w:p>
        </w:tc>
      </w:tr>
    </w:tbl>
    <w:p>
      <w:pPr>
        <w:spacing w:after="120"/>
      </w:pPr>
    </w:p>
    <w:p>
      <w:pPr>
        <w:pStyle w:val="Heading2"/>
        <w:keepNext/>
        <w:spacing w:after="140" w:before="320"/>
      </w:pPr>
      <w:r>
        <w:rPr>
          <w:rFonts w:ascii="Calibri" w:cs="Calibri" w:eastAsia="Calibri" w:hAnsi="Calibri"/>
        </w:rPr>
        <w:t xml:space="preserve">Relevé de décisions</w:t>
      </w:r>
    </w:p>
    <w:tbl>
      <w:tblPr>
        <w:tblW w:type="dxa" w:w="9638"/>
        <w:tblBorders>
          <w:top w:val="single" w:color="C9D3E0" w:sz="4"/>
          <w:left w:val="single" w:color="C9D3E0" w:sz="4"/>
          <w:bottom w:val="single" w:color="C9D3E0" w:sz="4"/>
          <w:right w:val="single" w:color="C9D3E0" w:sz="4"/>
          <w:insideH w:val="single" w:color="C9D3E0" w:sz="4"/>
          <w:insideV w:val="single" w:color="C9D3E0" w:sz="4"/>
        </w:tblBorders>
      </w:tblPr>
      <w:tblGrid>
        <w:gridCol w:w="3855"/>
        <w:gridCol w:w="2410"/>
        <w:gridCol w:w="1928"/>
        <w:gridCol w:w="1446"/>
      </w:tblGrid>
      <w:tr>
        <w:trPr>
          <w:cantSplit/>
          <w:tblHeader/>
        </w:trPr>
        <w:tc>
          <w:tcPr>
            <w:tcW w:type="dxa" w:w="3855"/>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Décision ou action</w:t>
            </w:r>
          </w:p>
        </w:tc>
        <w:tc>
          <w:tcPr>
            <w:tcW w:type="dxa" w:w="2410"/>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Responsable</w:t>
            </w:r>
          </w:p>
        </w:tc>
        <w:tc>
          <w:tcPr>
            <w:tcW w:type="dxa" w:w="1928"/>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Échéance</w:t>
            </w:r>
          </w:p>
        </w:tc>
        <w:tc>
          <w:tcPr>
            <w:tcW w:type="dxa" w:w="1446"/>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Statut</w:t>
            </w:r>
          </w:p>
        </w:tc>
      </w:tr>
      <w:tr>
        <w:trPr>
          <w:cantSplit/>
          <w:tblHeader w:val="false"/>
        </w:trPr>
        <w:tc>
          <w:tcPr>
            <w:tcW w:type="dxa" w:w="3855"/>
            <w:tcMar>
              <w:top w:type="dxa" w:w="80"/>
              <w:left w:type="dxa" w:w="110"/>
              <w:bottom w:type="dxa" w:w="80"/>
              <w:right w:type="dxa" w:w="110"/>
            </w:tcMar>
            <w:vAlign w:val="top"/>
          </w:tcPr>
          <w:p>
            <w:pPr>
              <w:spacing w:after="40" w:line="260"/>
            </w:pPr>
          </w:p>
        </w:tc>
        <w:tc>
          <w:tcPr>
            <w:tcW w:type="dxa" w:w="2410"/>
            <w:tcMar>
              <w:top w:type="dxa" w:w="80"/>
              <w:left w:type="dxa" w:w="110"/>
              <w:bottom w:type="dxa" w:w="80"/>
              <w:right w:type="dxa" w:w="110"/>
            </w:tcMar>
            <w:vAlign w:val="top"/>
          </w:tcPr>
          <w:p>
            <w:pPr>
              <w:spacing w:after="40" w:line="260"/>
            </w:pPr>
          </w:p>
        </w:tc>
        <w:tc>
          <w:tcPr>
            <w:tcW w:type="dxa" w:w="1928"/>
            <w:tcMar>
              <w:top w:type="dxa" w:w="80"/>
              <w:left w:type="dxa" w:w="110"/>
              <w:bottom w:type="dxa" w:w="80"/>
              <w:right w:type="dxa" w:w="110"/>
            </w:tcMar>
            <w:vAlign w:val="top"/>
          </w:tcPr>
          <w:p>
            <w:pPr>
              <w:spacing w:after="40" w:line="260"/>
            </w:pPr>
          </w:p>
        </w:tc>
        <w:tc>
          <w:tcPr>
            <w:tcW w:type="dxa" w:w="1446"/>
            <w:tcMar>
              <w:top w:type="dxa" w:w="80"/>
              <w:left w:type="dxa" w:w="110"/>
              <w:bottom w:type="dxa" w:w="80"/>
              <w:right w:type="dxa" w:w="110"/>
            </w:tcMar>
            <w:vAlign w:val="top"/>
          </w:tcPr>
          <w:p>
            <w:pPr>
              <w:spacing w:after="40" w:line="260"/>
            </w:pPr>
          </w:p>
        </w:tc>
      </w:tr>
      <w:tr>
        <w:trPr>
          <w:cantSplit/>
          <w:tblHeader w:val="false"/>
        </w:trPr>
        <w:tc>
          <w:tcPr>
            <w:tcW w:type="dxa" w:w="3855"/>
            <w:tcMar>
              <w:top w:type="dxa" w:w="80"/>
              <w:left w:type="dxa" w:w="110"/>
              <w:bottom w:type="dxa" w:w="80"/>
              <w:right w:type="dxa" w:w="110"/>
            </w:tcMar>
            <w:vAlign w:val="top"/>
          </w:tcPr>
          <w:p>
            <w:pPr>
              <w:spacing w:after="40" w:line="260"/>
            </w:pPr>
          </w:p>
        </w:tc>
        <w:tc>
          <w:tcPr>
            <w:tcW w:type="dxa" w:w="2410"/>
            <w:tcMar>
              <w:top w:type="dxa" w:w="80"/>
              <w:left w:type="dxa" w:w="110"/>
              <w:bottom w:type="dxa" w:w="80"/>
              <w:right w:type="dxa" w:w="110"/>
            </w:tcMar>
            <w:vAlign w:val="top"/>
          </w:tcPr>
          <w:p>
            <w:pPr>
              <w:spacing w:after="40" w:line="260"/>
            </w:pPr>
          </w:p>
        </w:tc>
        <w:tc>
          <w:tcPr>
            <w:tcW w:type="dxa" w:w="1928"/>
            <w:tcMar>
              <w:top w:type="dxa" w:w="80"/>
              <w:left w:type="dxa" w:w="110"/>
              <w:bottom w:type="dxa" w:w="80"/>
              <w:right w:type="dxa" w:w="110"/>
            </w:tcMar>
            <w:vAlign w:val="top"/>
          </w:tcPr>
          <w:p>
            <w:pPr>
              <w:spacing w:after="40" w:line="260"/>
            </w:pPr>
          </w:p>
        </w:tc>
        <w:tc>
          <w:tcPr>
            <w:tcW w:type="dxa" w:w="1446"/>
            <w:tcMar>
              <w:top w:type="dxa" w:w="80"/>
              <w:left w:type="dxa" w:w="110"/>
              <w:bottom w:type="dxa" w:w="80"/>
              <w:right w:type="dxa" w:w="110"/>
            </w:tcMar>
            <w:vAlign w:val="top"/>
          </w:tcPr>
          <w:p>
            <w:pPr>
              <w:spacing w:after="40" w:line="260"/>
            </w:pPr>
          </w:p>
        </w:tc>
      </w:tr>
      <w:tr>
        <w:trPr>
          <w:cantSplit/>
          <w:tblHeader w:val="false"/>
        </w:trPr>
        <w:tc>
          <w:tcPr>
            <w:tcW w:type="dxa" w:w="3855"/>
            <w:tcMar>
              <w:top w:type="dxa" w:w="80"/>
              <w:left w:type="dxa" w:w="110"/>
              <w:bottom w:type="dxa" w:w="80"/>
              <w:right w:type="dxa" w:w="110"/>
            </w:tcMar>
            <w:vAlign w:val="top"/>
          </w:tcPr>
          <w:p>
            <w:pPr>
              <w:spacing w:after="40" w:line="260"/>
            </w:pPr>
          </w:p>
        </w:tc>
        <w:tc>
          <w:tcPr>
            <w:tcW w:type="dxa" w:w="2410"/>
            <w:tcMar>
              <w:top w:type="dxa" w:w="80"/>
              <w:left w:type="dxa" w:w="110"/>
              <w:bottom w:type="dxa" w:w="80"/>
              <w:right w:type="dxa" w:w="110"/>
            </w:tcMar>
            <w:vAlign w:val="top"/>
          </w:tcPr>
          <w:p>
            <w:pPr>
              <w:spacing w:after="40" w:line="260"/>
            </w:pPr>
          </w:p>
        </w:tc>
        <w:tc>
          <w:tcPr>
            <w:tcW w:type="dxa" w:w="1928"/>
            <w:tcMar>
              <w:top w:type="dxa" w:w="80"/>
              <w:left w:type="dxa" w:w="110"/>
              <w:bottom w:type="dxa" w:w="80"/>
              <w:right w:type="dxa" w:w="110"/>
            </w:tcMar>
            <w:vAlign w:val="top"/>
          </w:tcPr>
          <w:p>
            <w:pPr>
              <w:spacing w:after="40" w:line="260"/>
            </w:pPr>
          </w:p>
        </w:tc>
        <w:tc>
          <w:tcPr>
            <w:tcW w:type="dxa" w:w="1446"/>
            <w:tcMar>
              <w:top w:type="dxa" w:w="80"/>
              <w:left w:type="dxa" w:w="110"/>
              <w:bottom w:type="dxa" w:w="80"/>
              <w:right w:type="dxa" w:w="110"/>
            </w:tcMar>
            <w:vAlign w:val="top"/>
          </w:tcPr>
          <w:p>
            <w:pPr>
              <w:spacing w:after="40" w:line="260"/>
            </w:pPr>
          </w:p>
        </w:tc>
      </w:tr>
      <w:tr>
        <w:trPr>
          <w:cantSplit/>
          <w:tblHeader w:val="false"/>
        </w:trPr>
        <w:tc>
          <w:tcPr>
            <w:tcW w:type="dxa" w:w="3855"/>
            <w:tcMar>
              <w:top w:type="dxa" w:w="80"/>
              <w:left w:type="dxa" w:w="110"/>
              <w:bottom w:type="dxa" w:w="80"/>
              <w:right w:type="dxa" w:w="110"/>
            </w:tcMar>
            <w:vAlign w:val="top"/>
          </w:tcPr>
          <w:p>
            <w:pPr>
              <w:spacing w:after="40" w:line="260"/>
            </w:pPr>
          </w:p>
        </w:tc>
        <w:tc>
          <w:tcPr>
            <w:tcW w:type="dxa" w:w="2410"/>
            <w:tcMar>
              <w:top w:type="dxa" w:w="80"/>
              <w:left w:type="dxa" w:w="110"/>
              <w:bottom w:type="dxa" w:w="80"/>
              <w:right w:type="dxa" w:w="110"/>
            </w:tcMar>
            <w:vAlign w:val="top"/>
          </w:tcPr>
          <w:p>
            <w:pPr>
              <w:spacing w:after="40" w:line="260"/>
            </w:pPr>
          </w:p>
        </w:tc>
        <w:tc>
          <w:tcPr>
            <w:tcW w:type="dxa" w:w="1928"/>
            <w:tcMar>
              <w:top w:type="dxa" w:w="80"/>
              <w:left w:type="dxa" w:w="110"/>
              <w:bottom w:type="dxa" w:w="80"/>
              <w:right w:type="dxa" w:w="110"/>
            </w:tcMar>
            <w:vAlign w:val="top"/>
          </w:tcPr>
          <w:p>
            <w:pPr>
              <w:spacing w:after="40" w:line="260"/>
            </w:pPr>
          </w:p>
        </w:tc>
        <w:tc>
          <w:tcPr>
            <w:tcW w:type="dxa" w:w="1446"/>
            <w:tcMar>
              <w:top w:type="dxa" w:w="80"/>
              <w:left w:type="dxa" w:w="110"/>
              <w:bottom w:type="dxa" w:w="80"/>
              <w:right w:type="dxa" w:w="110"/>
            </w:tcMar>
            <w:vAlign w:val="top"/>
          </w:tcPr>
          <w:p>
            <w:pPr>
              <w:spacing w:after="40" w:line="260"/>
            </w:pPr>
          </w:p>
        </w:tc>
      </w:tr>
      <w:tr>
        <w:trPr>
          <w:cantSplit/>
          <w:tblHeader w:val="false"/>
        </w:trPr>
        <w:tc>
          <w:tcPr>
            <w:tcW w:type="dxa" w:w="3855"/>
            <w:tcMar>
              <w:top w:type="dxa" w:w="80"/>
              <w:left w:type="dxa" w:w="110"/>
              <w:bottom w:type="dxa" w:w="80"/>
              <w:right w:type="dxa" w:w="110"/>
            </w:tcMar>
            <w:vAlign w:val="top"/>
          </w:tcPr>
          <w:p>
            <w:pPr>
              <w:spacing w:after="40" w:line="260"/>
            </w:pPr>
          </w:p>
        </w:tc>
        <w:tc>
          <w:tcPr>
            <w:tcW w:type="dxa" w:w="2410"/>
            <w:tcMar>
              <w:top w:type="dxa" w:w="80"/>
              <w:left w:type="dxa" w:w="110"/>
              <w:bottom w:type="dxa" w:w="80"/>
              <w:right w:type="dxa" w:w="110"/>
            </w:tcMar>
            <w:vAlign w:val="top"/>
          </w:tcPr>
          <w:p>
            <w:pPr>
              <w:spacing w:after="40" w:line="260"/>
            </w:pPr>
          </w:p>
        </w:tc>
        <w:tc>
          <w:tcPr>
            <w:tcW w:type="dxa" w:w="1928"/>
            <w:tcMar>
              <w:top w:type="dxa" w:w="80"/>
              <w:left w:type="dxa" w:w="110"/>
              <w:bottom w:type="dxa" w:w="80"/>
              <w:right w:type="dxa" w:w="110"/>
            </w:tcMar>
            <w:vAlign w:val="top"/>
          </w:tcPr>
          <w:p>
            <w:pPr>
              <w:spacing w:after="40" w:line="260"/>
            </w:pPr>
          </w:p>
        </w:tc>
        <w:tc>
          <w:tcPr>
            <w:tcW w:type="dxa" w:w="1446"/>
            <w:tcMar>
              <w:top w:type="dxa" w:w="80"/>
              <w:left w:type="dxa" w:w="110"/>
              <w:bottom w:type="dxa" w:w="80"/>
              <w:right w:type="dxa" w:w="110"/>
            </w:tcMar>
            <w:vAlign w:val="top"/>
          </w:tcPr>
          <w:p>
            <w:pPr>
              <w:spacing w:after="40" w:line="260"/>
            </w:pPr>
          </w:p>
        </w:tc>
      </w:tr>
      <w:tr>
        <w:trPr>
          <w:cantSplit/>
          <w:tblHeader w:val="false"/>
        </w:trPr>
        <w:tc>
          <w:tcPr>
            <w:tcW w:type="dxa" w:w="3855"/>
            <w:tcMar>
              <w:top w:type="dxa" w:w="80"/>
              <w:left w:type="dxa" w:w="110"/>
              <w:bottom w:type="dxa" w:w="80"/>
              <w:right w:type="dxa" w:w="110"/>
            </w:tcMar>
            <w:vAlign w:val="top"/>
          </w:tcPr>
          <w:p>
            <w:pPr>
              <w:spacing w:after="40" w:line="260"/>
            </w:pPr>
          </w:p>
        </w:tc>
        <w:tc>
          <w:tcPr>
            <w:tcW w:type="dxa" w:w="2410"/>
            <w:tcMar>
              <w:top w:type="dxa" w:w="80"/>
              <w:left w:type="dxa" w:w="110"/>
              <w:bottom w:type="dxa" w:w="80"/>
              <w:right w:type="dxa" w:w="110"/>
            </w:tcMar>
            <w:vAlign w:val="top"/>
          </w:tcPr>
          <w:p>
            <w:pPr>
              <w:spacing w:after="40" w:line="260"/>
            </w:pPr>
          </w:p>
        </w:tc>
        <w:tc>
          <w:tcPr>
            <w:tcW w:type="dxa" w:w="1928"/>
            <w:tcMar>
              <w:top w:type="dxa" w:w="80"/>
              <w:left w:type="dxa" w:w="110"/>
              <w:bottom w:type="dxa" w:w="80"/>
              <w:right w:type="dxa" w:w="110"/>
            </w:tcMar>
            <w:vAlign w:val="top"/>
          </w:tcPr>
          <w:p>
            <w:pPr>
              <w:spacing w:after="40" w:line="260"/>
            </w:pPr>
          </w:p>
        </w:tc>
        <w:tc>
          <w:tcPr>
            <w:tcW w:type="dxa" w:w="1446"/>
            <w:tcMar>
              <w:top w:type="dxa" w:w="80"/>
              <w:left w:type="dxa" w:w="110"/>
              <w:bottom w:type="dxa" w:w="80"/>
              <w:right w:type="dxa" w:w="110"/>
            </w:tcMar>
            <w:vAlign w:val="top"/>
          </w:tcPr>
          <w:p>
            <w:pPr>
              <w:spacing w:after="40" w:line="260"/>
            </w:pPr>
          </w:p>
        </w:tc>
      </w:tr>
    </w:tbl>
    <w:p>
      <w:pPr>
        <w:pStyle w:val="Heading1"/>
        <w:pageBreakBefore/>
        <w:spacing w:after="240" w:before="0"/>
      </w:pPr>
      <w:r>
        <w:rPr>
          <w:rFonts w:ascii="Calibri" w:cs="Calibri" w:eastAsia="Calibri" w:hAnsi="Calibri"/>
        </w:rPr>
        <w:t xml:space="preserve">Annexe E. Check-list de lancement (fin du trimestre 1)</w:t>
      </w:r>
    </w:p>
    <w:p>
      <w:pPr>
        <w:spacing w:after="140" w:before="0" w:line="276"/>
      </w:pPr>
      <w:r>
        <w:rPr>
          <w:rFonts w:ascii="Calibri" w:cs="Calibri" w:eastAsia="Calibri" w:hAnsi="Calibri"/>
        </w:rPr>
        <w:t xml:space="preserve">À passer en revue avec le sponsor avant la première revue trimestrielle. Chaque case non cochée est un risque pour les trimestres suivants.</w:t>
      </w:r>
    </w:p>
    <w:p>
      <w:pPr>
        <w:pStyle w:val="Heading3"/>
        <w:keepNext/>
        <w:spacing w:after="100" w:before="220"/>
      </w:pPr>
      <w:r>
        <w:rPr>
          <w:rFonts w:ascii="Calibri" w:cs="Calibri" w:eastAsia="Calibri" w:hAnsi="Calibri"/>
        </w:rPr>
        <w:t xml:space="preserve">Cadrage</w:t>
      </w:r>
    </w:p>
    <w:p>
      <w:pPr>
        <w:spacing w:after="80" w:line="276"/>
        <w:ind w:left="360" w:hanging="360"/>
      </w:pPr>
      <w:r>
        <w:rPr>
          <w:rFonts w:ascii="Segoe UI Symbol" w:cs="Segoe UI Symbol" w:eastAsia="Segoe UI Symbol" w:hAnsi="Segoe UI Symbol"/>
          <w:sz w:val="22"/>
          <w:szCs w:val="22"/>
        </w:rPr>
        <w:t xml:space="preserve">☐  </w:t>
      </w:r>
      <w:r>
        <w:rPr>
          <w:rFonts w:ascii="Calibri" w:cs="Calibri" w:eastAsia="Calibri" w:hAnsi="Calibri"/>
        </w:rPr>
        <w:t xml:space="preserve">L'ambition est écrite en une phrase et validée par le comité de direction.</w:t>
      </w:r>
    </w:p>
    <w:p>
      <w:pPr>
        <w:spacing w:after="80" w:line="276"/>
        <w:ind w:left="360" w:hanging="360"/>
      </w:pPr>
      <w:r>
        <w:rPr>
          <w:rFonts w:ascii="Segoe UI Symbol" w:cs="Segoe UI Symbol" w:eastAsia="Segoe UI Symbol" w:hAnsi="Segoe UI Symbol"/>
          <w:sz w:val="22"/>
          <w:szCs w:val="22"/>
        </w:rPr>
        <w:t xml:space="preserve">☐  </w:t>
      </w:r>
      <w:r>
        <w:rPr>
          <w:rFonts w:ascii="Calibri" w:cs="Calibri" w:eastAsia="Calibri" w:hAnsi="Calibri"/>
        </w:rPr>
        <w:t xml:space="preserve">Le périmètre (populations, outils, données, exclusions) est écrit dans la note de cadrage.</w:t>
      </w:r>
    </w:p>
    <w:p>
      <w:pPr>
        <w:spacing w:after="80" w:line="276"/>
        <w:ind w:left="360" w:hanging="360"/>
      </w:pPr>
      <w:r>
        <w:rPr>
          <w:rFonts w:ascii="Segoe UI Symbol" w:cs="Segoe UI Symbol" w:eastAsia="Segoe UI Symbol" w:hAnsi="Segoe UI Symbol"/>
          <w:sz w:val="22"/>
          <w:szCs w:val="22"/>
        </w:rPr>
        <w:t xml:space="preserve">☐  </w:t>
      </w:r>
      <w:r>
        <w:rPr>
          <w:rFonts w:ascii="Calibri" w:cs="Calibri" w:eastAsia="Calibri" w:hAnsi="Calibri"/>
        </w:rPr>
        <w:t xml:space="preserve">Les cinq principes sont repris dans la charte IA.</w:t>
      </w:r>
    </w:p>
    <w:p>
      <w:pPr>
        <w:spacing w:after="80" w:line="276"/>
        <w:ind w:left="360" w:hanging="360"/>
      </w:pPr>
      <w:r>
        <w:rPr>
          <w:rFonts w:ascii="Segoe UI Symbol" w:cs="Segoe UI Symbol" w:eastAsia="Segoe UI Symbol" w:hAnsi="Segoe UI Symbol"/>
          <w:sz w:val="22"/>
          <w:szCs w:val="22"/>
        </w:rPr>
        <w:t xml:space="preserve">☐  </w:t>
      </w:r>
      <w:r>
        <w:rPr>
          <w:rFonts w:ascii="Calibri" w:cs="Calibri" w:eastAsia="Calibri" w:hAnsi="Calibri"/>
        </w:rPr>
        <w:t xml:space="preserve">Le sponsor, le référent et le cercle des experts sont nommés et informés de leur rôle.</w:t>
      </w:r>
    </w:p>
    <w:p>
      <w:pPr>
        <w:pStyle w:val="Heading3"/>
        <w:keepNext/>
        <w:spacing w:after="100" w:before="220"/>
      </w:pPr>
      <w:r>
        <w:rPr>
          <w:rFonts w:ascii="Calibri" w:cs="Calibri" w:eastAsia="Calibri" w:hAnsi="Calibri"/>
        </w:rPr>
        <w:t xml:space="preserve">Conformité et sécurité</w:t>
      </w:r>
    </w:p>
    <w:p>
      <w:pPr>
        <w:spacing w:after="80" w:line="276"/>
        <w:ind w:left="360" w:hanging="360"/>
      </w:pPr>
      <w:r>
        <w:rPr>
          <w:rFonts w:ascii="Segoe UI Symbol" w:cs="Segoe UI Symbol" w:eastAsia="Segoe UI Symbol" w:hAnsi="Segoe UI Symbol"/>
          <w:sz w:val="22"/>
          <w:szCs w:val="22"/>
        </w:rPr>
        <w:t xml:space="preserve">☐  </w:t>
      </w:r>
      <w:r>
        <w:rPr>
          <w:rFonts w:ascii="Calibri" w:cs="Calibri" w:eastAsia="Calibri" w:hAnsi="Calibri"/>
        </w:rPr>
        <w:t xml:space="preserve">La charte IA est publiée et son mode de diffusion est tracé.</w:t>
      </w:r>
    </w:p>
    <w:p>
      <w:pPr>
        <w:spacing w:after="80" w:line="276"/>
        <w:ind w:left="360" w:hanging="360"/>
      </w:pPr>
      <w:r>
        <w:rPr>
          <w:rFonts w:ascii="Segoe UI Symbol" w:cs="Segoe UI Symbol" w:eastAsia="Segoe UI Symbol" w:hAnsi="Segoe UI Symbol"/>
          <w:sz w:val="22"/>
          <w:szCs w:val="22"/>
        </w:rPr>
        <w:t xml:space="preserve">☐  </w:t>
      </w:r>
      <w:r>
        <w:rPr>
          <w:rFonts w:ascii="Calibri" w:cs="Calibri" w:eastAsia="Calibri" w:hAnsi="Calibri"/>
        </w:rPr>
        <w:t xml:space="preserve">Les règles de classification des données sont explicitées pour les outils d'IA.</w:t>
      </w:r>
    </w:p>
    <w:p>
      <w:pPr>
        <w:spacing w:after="80" w:line="276"/>
        <w:ind w:left="360" w:hanging="360"/>
      </w:pPr>
      <w:r>
        <w:rPr>
          <w:rFonts w:ascii="Segoe UI Symbol" w:cs="Segoe UI Symbol" w:eastAsia="Segoe UI Symbol" w:hAnsi="Segoe UI Symbol"/>
          <w:sz w:val="22"/>
          <w:szCs w:val="22"/>
        </w:rPr>
        <w:t xml:space="preserve">☐  </w:t>
      </w:r>
      <w:r>
        <w:rPr>
          <w:rFonts w:ascii="Calibri" w:cs="Calibri" w:eastAsia="Calibri" w:hAnsi="Calibri"/>
        </w:rPr>
        <w:t xml:space="preserve">Les contrats des outils retenus ont été revus (données, confidentialité, hébergement).</w:t>
      </w:r>
    </w:p>
    <w:p>
      <w:pPr>
        <w:spacing w:after="80" w:line="276"/>
        <w:ind w:left="360" w:hanging="360"/>
      </w:pPr>
      <w:r>
        <w:rPr>
          <w:rFonts w:ascii="Segoe UI Symbol" w:cs="Segoe UI Symbol" w:eastAsia="Segoe UI Symbol" w:hAnsi="Segoe UI Symbol"/>
          <w:sz w:val="22"/>
          <w:szCs w:val="22"/>
        </w:rPr>
        <w:t xml:space="preserve">☐  </w:t>
      </w:r>
      <w:r>
        <w:rPr>
          <w:rFonts w:ascii="Calibri" w:cs="Calibri" w:eastAsia="Calibri" w:hAnsi="Calibri"/>
        </w:rPr>
        <w:t xml:space="preserve">Les instances représentatives du personnel ont été informées.</w:t>
      </w:r>
    </w:p>
    <w:p>
      <w:pPr>
        <w:spacing w:after="80" w:line="276"/>
        <w:ind w:left="360" w:hanging="360"/>
      </w:pPr>
      <w:r>
        <w:rPr>
          <w:rFonts w:ascii="Segoe UI Symbol" w:cs="Segoe UI Symbol" w:eastAsia="Segoe UI Symbol" w:hAnsi="Segoe UI Symbol"/>
          <w:sz w:val="22"/>
          <w:szCs w:val="22"/>
        </w:rPr>
        <w:t xml:space="preserve">☐  </w:t>
      </w:r>
      <w:r>
        <w:rPr>
          <w:rFonts w:ascii="Calibri" w:cs="Calibri" w:eastAsia="Calibri" w:hAnsi="Calibri"/>
        </w:rPr>
        <w:t xml:space="preserve">Le registre de formation existe et est tenu.</w:t>
      </w:r>
    </w:p>
    <w:p>
      <w:pPr>
        <w:pStyle w:val="Heading3"/>
        <w:keepNext/>
        <w:spacing w:after="100" w:before="220"/>
      </w:pPr>
      <w:r>
        <w:rPr>
          <w:rFonts w:ascii="Calibri" w:cs="Calibri" w:eastAsia="Calibri" w:hAnsi="Calibri"/>
        </w:rPr>
        <w:t xml:space="preserve">Outils et accès</w:t>
      </w:r>
    </w:p>
    <w:p>
      <w:pPr>
        <w:spacing w:after="80" w:line="276"/>
        <w:ind w:left="360" w:hanging="360"/>
      </w:pPr>
      <w:r>
        <w:rPr>
          <w:rFonts w:ascii="Segoe UI Symbol" w:cs="Segoe UI Symbol" w:eastAsia="Segoe UI Symbol" w:hAnsi="Segoe UI Symbol"/>
          <w:sz w:val="22"/>
          <w:szCs w:val="22"/>
        </w:rPr>
        <w:t xml:space="preserve">☐  </w:t>
      </w:r>
      <w:r>
        <w:rPr>
          <w:rFonts w:ascii="Calibri" w:cs="Calibri" w:eastAsia="Calibri" w:hAnsi="Calibri"/>
        </w:rPr>
        <w:t xml:space="preserve">L'outil de référence est déployé sur le périmètre du trimestre, avec un administrateur identifié.</w:t>
      </w:r>
    </w:p>
    <w:p>
      <w:pPr>
        <w:spacing w:after="80" w:line="276"/>
        <w:ind w:left="360" w:hanging="360"/>
      </w:pPr>
      <w:r>
        <w:rPr>
          <w:rFonts w:ascii="Segoe UI Symbol" w:cs="Segoe UI Symbol" w:eastAsia="Segoe UI Symbol" w:hAnsi="Segoe UI Symbol"/>
          <w:sz w:val="22"/>
          <w:szCs w:val="22"/>
        </w:rPr>
        <w:t xml:space="preserve">☐  </w:t>
      </w:r>
      <w:r>
        <w:rPr>
          <w:rFonts w:ascii="Calibri" w:cs="Calibri" w:eastAsia="Calibri" w:hAnsi="Calibri"/>
        </w:rPr>
        <w:t xml:space="preserve">Le parcours d'entrée (charte, règles, prise en main) est prêt.</w:t>
      </w:r>
    </w:p>
    <w:p>
      <w:pPr>
        <w:spacing w:after="80" w:line="276"/>
        <w:ind w:left="360" w:hanging="360"/>
      </w:pPr>
      <w:r>
        <w:rPr>
          <w:rFonts w:ascii="Segoe UI Symbol" w:cs="Segoe UI Symbol" w:eastAsia="Segoe UI Symbol" w:hAnsi="Segoe UI Symbol"/>
          <w:sz w:val="22"/>
          <w:szCs w:val="22"/>
        </w:rPr>
        <w:t xml:space="preserve">☐  </w:t>
      </w:r>
      <w:r>
        <w:rPr>
          <w:rFonts w:ascii="Calibri" w:cs="Calibri" w:eastAsia="Calibri" w:hAnsi="Calibri"/>
        </w:rPr>
        <w:t xml:space="preserve">Un espace de partage des prompts et assistants est ouvert.</w:t>
      </w:r>
    </w:p>
    <w:p>
      <w:pPr>
        <w:pStyle w:val="Heading3"/>
        <w:keepNext/>
        <w:spacing w:after="100" w:before="220"/>
      </w:pPr>
      <w:r>
        <w:rPr>
          <w:rFonts w:ascii="Calibri" w:cs="Calibri" w:eastAsia="Calibri" w:hAnsi="Calibri"/>
        </w:rPr>
        <w:t xml:space="preserve">Personnes</w:t>
      </w:r>
    </w:p>
    <w:p>
      <w:pPr>
        <w:spacing w:after="80" w:line="276"/>
        <w:ind w:left="360" w:hanging="360"/>
      </w:pPr>
      <w:r>
        <w:rPr>
          <w:rFonts w:ascii="Segoe UI Symbol" w:cs="Segoe UI Symbol" w:eastAsia="Segoe UI Symbol" w:hAnsi="Segoe UI Symbol"/>
          <w:sz w:val="22"/>
          <w:szCs w:val="22"/>
        </w:rPr>
        <w:t xml:space="preserve">☐  </w:t>
      </w:r>
      <w:r>
        <w:rPr>
          <w:rFonts w:ascii="Calibri" w:cs="Calibri" w:eastAsia="Calibri" w:hAnsi="Calibri"/>
        </w:rPr>
        <w:t xml:space="preserve">Le comité de direction a suivi sa session de sensibilisation.</w:t>
      </w:r>
    </w:p>
    <w:p>
      <w:pPr>
        <w:spacing w:after="80" w:line="276"/>
        <w:ind w:left="360" w:hanging="360"/>
      </w:pPr>
      <w:r>
        <w:rPr>
          <w:rFonts w:ascii="Segoe UI Symbol" w:cs="Segoe UI Symbol" w:eastAsia="Segoe UI Symbol" w:hAnsi="Segoe UI Symbol"/>
          <w:sz w:val="22"/>
          <w:szCs w:val="22"/>
        </w:rPr>
        <w:t xml:space="preserve">☐  </w:t>
      </w:r>
      <w:r>
        <w:rPr>
          <w:rFonts w:ascii="Calibri" w:cs="Calibri" w:eastAsia="Calibri" w:hAnsi="Calibri"/>
        </w:rPr>
        <w:t xml:space="preserve">Les ambassadeurs sont recrutés, formés, et leur temps est reconnu par leur manager.</w:t>
      </w:r>
    </w:p>
    <w:p>
      <w:pPr>
        <w:spacing w:after="80" w:line="276"/>
        <w:ind w:left="360" w:hanging="360"/>
      </w:pPr>
      <w:r>
        <w:rPr>
          <w:rFonts w:ascii="Segoe UI Symbol" w:cs="Segoe UI Symbol" w:eastAsia="Segoe UI Symbol" w:hAnsi="Segoe UI Symbol"/>
          <w:sz w:val="22"/>
          <w:szCs w:val="22"/>
        </w:rPr>
        <w:t xml:space="preserve">☐  </w:t>
      </w:r>
      <w:r>
        <w:rPr>
          <w:rFonts w:ascii="Calibri" w:cs="Calibri" w:eastAsia="Calibri" w:hAnsi="Calibri"/>
        </w:rPr>
        <w:t xml:space="preserve">Une première vague de collaborateurs a été formée sur ses cas d'usage métier.</w:t>
      </w:r>
    </w:p>
    <w:p>
      <w:pPr>
        <w:pStyle w:val="Heading3"/>
        <w:keepNext/>
        <w:spacing w:after="100" w:before="220"/>
      </w:pPr>
      <w:r>
        <w:rPr>
          <w:rFonts w:ascii="Calibri" w:cs="Calibri" w:eastAsia="Calibri" w:hAnsi="Calibri"/>
        </w:rPr>
        <w:t xml:space="preserve">Résultats</w:t>
      </w:r>
    </w:p>
    <w:p>
      <w:pPr>
        <w:spacing w:after="80" w:line="276"/>
        <w:ind w:left="360" w:hanging="360"/>
      </w:pPr>
      <w:r>
        <w:rPr>
          <w:rFonts w:ascii="Segoe UI Symbol" w:cs="Segoe UI Symbol" w:eastAsia="Segoe UI Symbol" w:hAnsi="Segoe UI Symbol"/>
          <w:sz w:val="22"/>
          <w:szCs w:val="22"/>
        </w:rPr>
        <w:t xml:space="preserve">☐  </w:t>
      </w:r>
      <w:r>
        <w:rPr>
          <w:rFonts w:ascii="Calibri" w:cs="Calibri" w:eastAsia="Calibri" w:hAnsi="Calibri"/>
        </w:rPr>
        <w:t xml:space="preserve">Trois à cinq quick wins sont en circulation et documentés.</w:t>
      </w:r>
    </w:p>
    <w:p>
      <w:pPr>
        <w:spacing w:after="80" w:line="276"/>
        <w:ind w:left="360" w:hanging="360"/>
      </w:pPr>
      <w:r>
        <w:rPr>
          <w:rFonts w:ascii="Segoe UI Symbol" w:cs="Segoe UI Symbol" w:eastAsia="Segoe UI Symbol" w:hAnsi="Segoe UI Symbol"/>
          <w:sz w:val="22"/>
          <w:szCs w:val="22"/>
        </w:rPr>
        <w:t xml:space="preserve">☐  </w:t>
      </w:r>
      <w:r>
        <w:rPr>
          <w:rFonts w:ascii="Calibri" w:cs="Calibri" w:eastAsia="Calibri" w:hAnsi="Calibri"/>
        </w:rPr>
        <w:t xml:space="preserve">Le backlog des cas d'usage est classé et les décisions sont motivées.</w:t>
      </w:r>
    </w:p>
    <w:p>
      <w:pPr>
        <w:spacing w:after="80" w:line="276"/>
        <w:ind w:left="360" w:hanging="360"/>
      </w:pPr>
      <w:r>
        <w:rPr>
          <w:rFonts w:ascii="Segoe UI Symbol" w:cs="Segoe UI Symbol" w:eastAsia="Segoe UI Symbol" w:hAnsi="Segoe UI Symbol"/>
          <w:sz w:val="22"/>
          <w:szCs w:val="22"/>
        </w:rPr>
        <w:t xml:space="preserve">☐  </w:t>
      </w:r>
      <w:r>
        <w:rPr>
          <w:rFonts w:ascii="Calibri" w:cs="Calibri" w:eastAsia="Calibri" w:hAnsi="Calibri"/>
        </w:rPr>
        <w:t xml:space="preserve">Le tableau de bord contient les valeurs de départ et le baromètre à 3 mois.</w:t>
      </w:r>
    </w:p>
    <w:p>
      <w:pPr>
        <w:spacing w:after="80" w:line="276"/>
        <w:ind w:left="360" w:hanging="360"/>
      </w:pPr>
      <w:r>
        <w:rPr>
          <w:rFonts w:ascii="Segoe UI Symbol" w:cs="Segoe UI Symbol" w:eastAsia="Segoe UI Symbol" w:hAnsi="Segoe UI Symbol"/>
          <w:sz w:val="22"/>
          <w:szCs w:val="22"/>
        </w:rPr>
        <w:t xml:space="preserve">☐  </w:t>
      </w:r>
      <w:r>
        <w:rPr>
          <w:rFonts w:ascii="Calibri" w:cs="Calibri" w:eastAsia="Calibri" w:hAnsi="Calibri"/>
        </w:rPr>
        <w:t xml:space="preserve">Les pilotes du trimestre 2 sont identifiés et leurs porteurs engagés.</w:t>
      </w:r>
    </w:p>
    <w:p>
      <w:pPr>
        <w:pStyle w:val="Heading1"/>
        <w:pageBreakBefore/>
        <w:spacing w:after="240" w:before="0"/>
      </w:pPr>
      <w:r>
        <w:rPr>
          <w:rFonts w:ascii="Calibri" w:cs="Calibri" w:eastAsia="Calibri" w:hAnsi="Calibri"/>
        </w:rPr>
        <w:t xml:space="preserve">Annexe F. Questions fréquentes du commanditaire</w:t>
      </w:r>
    </w:p>
    <w:p>
      <w:pPr>
        <w:pStyle w:val="Heading3"/>
        <w:keepNext/>
        <w:spacing w:after="100" w:before="220"/>
      </w:pPr>
      <w:r>
        <w:rPr>
          <w:rFonts w:ascii="Calibri" w:cs="Calibri" w:eastAsia="Calibri" w:hAnsi="Calibri"/>
        </w:rPr>
        <w:t xml:space="preserve">« Faut-il choisir un seul outil ? »</w:t>
      </w:r>
    </w:p>
    <w:p>
      <w:pPr>
        <w:spacing w:after="140" w:before="0" w:line="276"/>
      </w:pPr>
      <w:r>
        <w:rPr>
          <w:rFonts w:ascii="Calibri" w:cs="Calibri" w:eastAsia="Calibri" w:hAnsi="Calibri"/>
        </w:rPr>
        <w:t xml:space="preserve">Un outil de référence, oui : c'est lui qui porte le socle de formation, la bibliothèque commune et les règles de données. Des outils complémentaires en licence entreprise pour des besoins précis, pourquoi pas, à condition qu'ils passent par le même cadre. Ce qu'il faut éviter, c'est l'absence de choix, qui laisse chacun utiliser son compte personnel.</w:t>
      </w:r>
    </w:p>
    <w:p>
      <w:pPr>
        <w:pStyle w:val="Heading3"/>
        <w:keepNext/>
        <w:spacing w:after="100" w:before="220"/>
      </w:pPr>
      <w:r>
        <w:rPr>
          <w:rFonts w:ascii="Calibri" w:cs="Calibri" w:eastAsia="Calibri" w:hAnsi="Calibri"/>
        </w:rPr>
        <w:t xml:space="preserve">« Douze mois, n'est-ce pas trop long ? Tout le monde utilise déjà l'IA. »</w:t>
      </w:r>
    </w:p>
    <w:p>
      <w:pPr>
        <w:spacing w:after="140" w:before="0" w:line="276"/>
      </w:pPr>
      <w:r>
        <w:rPr>
          <w:rFonts w:ascii="Calibri" w:cs="Calibri" w:eastAsia="Calibri" w:hAnsi="Calibri"/>
        </w:rPr>
        <w:t xml:space="preserve">Beaucoup de collaborateurs utilisent déjà l'IA, peu l'utilisent bien, et presque personne ne l'utilise de manière collective et mesurée. Les douze mois ne servent pas à découvrir l'IA mais à passer d'usages individuels dispersés à des usages partagés, encadrés et outillés. Le calendrier peut se compresser sur un périmètre restreint ; il ne peut pas sauter l'étape des pilotes mesurés.</w:t>
      </w:r>
    </w:p>
    <w:p>
      <w:pPr>
        <w:pStyle w:val="Heading3"/>
        <w:keepNext/>
        <w:spacing w:after="100" w:before="220"/>
      </w:pPr>
      <w:r>
        <w:rPr>
          <w:rFonts w:ascii="Calibri" w:cs="Calibri" w:eastAsia="Calibri" w:hAnsi="Calibri"/>
        </w:rPr>
        <w:t xml:space="preserve">« Quel budget prévoir ? »</w:t>
      </w:r>
    </w:p>
    <w:p>
      <w:pPr>
        <w:spacing w:after="140" w:before="0" w:line="276"/>
      </w:pPr>
      <w:r>
        <w:rPr>
          <w:rFonts w:ascii="Calibri" w:cs="Calibri" w:eastAsia="Calibri" w:hAnsi="Calibri"/>
        </w:rPr>
        <w:t xml:space="preserve">Trois postes : les licences (le poste le plus visible), la formation (le poste le plus rentable) et le temps interne (le poste le plus oublié : référent, ambassadeurs, porteurs de pilotes). Une règle observée dans les déploiements réussis : consacrer à la formation et à l'accompagnement au moins autant qu'aux licences en année 1.</w:t>
      </w:r>
    </w:p>
    <w:p>
      <w:pPr>
        <w:pStyle w:val="Heading3"/>
        <w:keepNext/>
        <w:spacing w:after="100" w:before="220"/>
      </w:pPr>
      <w:r>
        <w:rPr>
          <w:rFonts w:ascii="Calibri" w:cs="Calibri" w:eastAsia="Calibri" w:hAnsi="Calibri"/>
        </w:rPr>
        <w:t xml:space="preserve">« Comment éviter les fuites de données ? »</w:t>
      </w:r>
    </w:p>
    <w:p>
      <w:pPr>
        <w:spacing w:after="140" w:before="0" w:line="276"/>
      </w:pPr>
      <w:r>
        <w:rPr>
          <w:rFonts w:ascii="Calibri" w:cs="Calibri" w:eastAsia="Calibri" w:hAnsi="Calibri"/>
        </w:rPr>
        <w:t xml:space="preserve">Par trois moyens combinés : des outils en licence entreprise dont le contrat garantit que les données ne servent pas à l'entraînement des modèles ; des règles de classification simples et connues de tous ; une formation qui montre concrètement ce qu'on peut soumettre et ce qu'on ne soumet pas. L'interdiction seule ne fonctionne pas.</w:t>
      </w:r>
    </w:p>
    <w:p>
      <w:pPr>
        <w:pStyle w:val="Heading3"/>
        <w:keepNext/>
        <w:spacing w:after="100" w:before="220"/>
      </w:pPr>
      <w:r>
        <w:rPr>
          <w:rFonts w:ascii="Calibri" w:cs="Calibri" w:eastAsia="Calibri" w:hAnsi="Calibri"/>
        </w:rPr>
        <w:t xml:space="preserve">« Que dire aux collaborateurs inquiets pour leur emploi ? »</w:t>
      </w:r>
    </w:p>
    <w:p>
      <w:pPr>
        <w:spacing w:after="140" w:before="0" w:line="276"/>
      </w:pPr>
      <w:r>
        <w:rPr>
          <w:rFonts w:ascii="Calibri" w:cs="Calibri" w:eastAsia="Calibri" w:hAnsi="Calibri"/>
        </w:rPr>
        <w:t xml:space="preserve">La vérité : les tâches changent, les métiers évoluent, et l'organisation choisit de former plutôt que de subir. L'ambition, la charte et le plan de formation sont les preuves de ce choix. Le rôle des managers et des ambassadeurs est de porter ce discours au plus près des équipes, avec des exemples concrets plutôt que des promesses.</w:t>
      </w:r>
    </w:p>
    <w:p>
      <w:pPr>
        <w:pStyle w:val="Heading3"/>
        <w:keepNext/>
        <w:spacing w:after="100" w:before="220"/>
      </w:pPr>
      <w:r>
        <w:rPr>
          <w:rFonts w:ascii="Calibri" w:cs="Calibri" w:eastAsia="Calibri" w:hAnsi="Calibri"/>
        </w:rPr>
        <w:t xml:space="preserve">« À partir de quand parler d'agents ? »</w:t>
      </w:r>
    </w:p>
    <w:p>
      <w:pPr>
        <w:spacing w:after="140" w:before="0" w:line="276"/>
      </w:pPr>
      <w:r>
        <w:rPr>
          <w:rFonts w:ascii="Calibri" w:cs="Calibri" w:eastAsia="Calibri" w:hAnsi="Calibri"/>
        </w:rPr>
        <w:t xml:space="preserve">Quand trois conditions sont réunies : une pratique courante des niveaux 1 et 2 dans l'équipe concernée, des données accessibles et classifiées, et un porteur capable de superviser l'agent dans la durée. Dans la plupart des organisations, cela correspond au second semestre de l'année 1.</w:t>
      </w:r>
    </w:p>
    <w:p>
      <w:pPr>
        <w:pStyle w:val="Heading3"/>
        <w:keepNext/>
        <w:spacing w:after="100" w:before="220"/>
      </w:pPr>
      <w:r>
        <w:rPr>
          <w:rFonts w:ascii="Calibri" w:cs="Calibri" w:eastAsia="Calibri" w:hAnsi="Calibri"/>
        </w:rPr>
        <w:t xml:space="preserve">« Que faire si le comité de direction n'est pas convaincu ? »</w:t>
      </w:r>
    </w:p>
    <w:p>
      <w:pPr>
        <w:spacing w:after="140" w:before="0" w:line="276"/>
      </w:pPr>
      <w:r>
        <w:rPr>
          <w:rFonts w:ascii="Calibri" w:cs="Calibri" w:eastAsia="Calibri" w:hAnsi="Calibri"/>
        </w:rPr>
        <w:t xml:space="preserve">Revenir aux chiffres du diagnostic : usage réel, comptes personnels, absence de formation. Puis proposer un périmètre réduit avec un pilote mesuré sur huit semaines. Un résultat chiffré sur un processus que le comité connaît convainc davantage qu'une présentation générale sur l'IA.</w:t>
      </w:r>
    </w:p>
    <w:p>
      <w:pPr>
        <w:pStyle w:val="Heading1"/>
        <w:pageBreakBefore/>
        <w:spacing w:after="240" w:before="0"/>
      </w:pPr>
      <w:r>
        <w:rPr>
          <w:rFonts w:ascii="Calibri" w:cs="Calibri" w:eastAsia="Calibri" w:hAnsi="Calibri"/>
        </w:rPr>
        <w:t xml:space="preserve">Annexe G. Auto-évaluation de maturité</w:t>
      </w:r>
    </w:p>
    <w:p>
      <w:pPr>
        <w:spacing w:after="140" w:before="0" w:line="276"/>
      </w:pPr>
      <w:r>
        <w:rPr>
          <w:rFonts w:ascii="Calibri" w:cs="Calibri" w:eastAsia="Calibri" w:hAnsi="Calibri"/>
        </w:rPr>
        <w:t xml:space="preserve">Notez chaque affirmation de 0 (pas du tout) à 4 (tout à fait). Le total sur 40 donne un point de départ ; refaites l'exercice à 6 et à 12 mois.</w:t>
      </w:r>
    </w:p>
    <w:tbl>
      <w:tblPr>
        <w:tblW w:type="dxa" w:w="9638"/>
        <w:tblBorders>
          <w:top w:val="single" w:color="C9D3E0" w:sz="4"/>
          <w:left w:val="single" w:color="C9D3E0" w:sz="4"/>
          <w:bottom w:val="single" w:color="C9D3E0" w:sz="4"/>
          <w:right w:val="single" w:color="C9D3E0" w:sz="4"/>
          <w:insideH w:val="single" w:color="C9D3E0" w:sz="4"/>
          <w:insideV w:val="single" w:color="C9D3E0" w:sz="4"/>
        </w:tblBorders>
      </w:tblPr>
      <w:tblGrid>
        <w:gridCol w:w="6747"/>
        <w:gridCol w:w="964"/>
        <w:gridCol w:w="964"/>
        <w:gridCol w:w="964"/>
      </w:tblGrid>
      <w:tr>
        <w:trPr>
          <w:cantSplit/>
          <w:tblHeader/>
        </w:trPr>
        <w:tc>
          <w:tcPr>
            <w:tcW w:type="dxa" w:w="6747"/>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Affirmation</w:t>
            </w:r>
          </w:p>
        </w:tc>
        <w:tc>
          <w:tcPr>
            <w:tcW w:type="dxa" w:w="964"/>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Départ</w:t>
            </w:r>
          </w:p>
        </w:tc>
        <w:tc>
          <w:tcPr>
            <w:tcW w:type="dxa" w:w="964"/>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6 mois</w:t>
            </w:r>
          </w:p>
        </w:tc>
        <w:tc>
          <w:tcPr>
            <w:tcW w:type="dxa" w:w="964"/>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12 mois</w:t>
            </w:r>
          </w:p>
        </w:tc>
      </w:tr>
      <w:tr>
        <w:trPr>
          <w:cantSplit/>
          <w:tblHeader w:val="false"/>
        </w:trPr>
        <w:tc>
          <w:tcPr>
            <w:tcW w:type="dxa" w:w="6747"/>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L'ambition IA de l'organisation est écrite et connue des managers.</w:t>
            </w:r>
          </w:p>
        </w:tc>
        <w:tc>
          <w:tcPr>
            <w:tcW w:type="dxa" w:w="964"/>
            <w:tcMar>
              <w:top w:type="dxa" w:w="80"/>
              <w:left w:type="dxa" w:w="110"/>
              <w:bottom w:type="dxa" w:w="80"/>
              <w:right w:type="dxa" w:w="110"/>
            </w:tcMar>
            <w:vAlign w:val="top"/>
          </w:tcPr>
          <w:p>
            <w:pPr>
              <w:spacing w:after="40" w:line="260"/>
            </w:pPr>
          </w:p>
        </w:tc>
        <w:tc>
          <w:tcPr>
            <w:tcW w:type="dxa" w:w="964"/>
            <w:tcMar>
              <w:top w:type="dxa" w:w="80"/>
              <w:left w:type="dxa" w:w="110"/>
              <w:bottom w:type="dxa" w:w="80"/>
              <w:right w:type="dxa" w:w="110"/>
            </w:tcMar>
            <w:vAlign w:val="top"/>
          </w:tcPr>
          <w:p>
            <w:pPr>
              <w:spacing w:after="40" w:line="260"/>
            </w:pPr>
          </w:p>
        </w:tc>
        <w:tc>
          <w:tcPr>
            <w:tcW w:type="dxa" w:w="964"/>
            <w:tcMar>
              <w:top w:type="dxa" w:w="80"/>
              <w:left w:type="dxa" w:w="110"/>
              <w:bottom w:type="dxa" w:w="80"/>
              <w:right w:type="dxa" w:w="110"/>
            </w:tcMar>
            <w:vAlign w:val="top"/>
          </w:tcPr>
          <w:p>
            <w:pPr>
              <w:spacing w:after="40" w:line="260"/>
            </w:pPr>
          </w:p>
        </w:tc>
      </w:tr>
      <w:tr>
        <w:trPr>
          <w:cantSplit/>
          <w:tblHeader w:val="false"/>
        </w:trPr>
        <w:tc>
          <w:tcPr>
            <w:tcW w:type="dxa" w:w="6747"/>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Une charte IA est publiée et les règles de données sont claires pour tous.</w:t>
            </w:r>
          </w:p>
        </w:tc>
        <w:tc>
          <w:tcPr>
            <w:tcW w:type="dxa" w:w="964"/>
            <w:tcMar>
              <w:top w:type="dxa" w:w="80"/>
              <w:left w:type="dxa" w:w="110"/>
              <w:bottom w:type="dxa" w:w="80"/>
              <w:right w:type="dxa" w:w="110"/>
            </w:tcMar>
            <w:vAlign w:val="top"/>
          </w:tcPr>
          <w:p>
            <w:pPr>
              <w:spacing w:after="40" w:line="260"/>
            </w:pPr>
          </w:p>
        </w:tc>
        <w:tc>
          <w:tcPr>
            <w:tcW w:type="dxa" w:w="964"/>
            <w:tcMar>
              <w:top w:type="dxa" w:w="80"/>
              <w:left w:type="dxa" w:w="110"/>
              <w:bottom w:type="dxa" w:w="80"/>
              <w:right w:type="dxa" w:w="110"/>
            </w:tcMar>
            <w:vAlign w:val="top"/>
          </w:tcPr>
          <w:p>
            <w:pPr>
              <w:spacing w:after="40" w:line="260"/>
            </w:pPr>
          </w:p>
        </w:tc>
        <w:tc>
          <w:tcPr>
            <w:tcW w:type="dxa" w:w="964"/>
            <w:tcMar>
              <w:top w:type="dxa" w:w="80"/>
              <w:left w:type="dxa" w:w="110"/>
              <w:bottom w:type="dxa" w:w="80"/>
              <w:right w:type="dxa" w:w="110"/>
            </w:tcMar>
            <w:vAlign w:val="top"/>
          </w:tcPr>
          <w:p>
            <w:pPr>
              <w:spacing w:after="40" w:line="260"/>
            </w:pPr>
          </w:p>
        </w:tc>
      </w:tr>
      <w:tr>
        <w:trPr>
          <w:cantSplit/>
          <w:tblHeader w:val="false"/>
        </w:trPr>
        <w:tc>
          <w:tcPr>
            <w:tcW w:type="dxa" w:w="6747"/>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Un sponsor et un référent IA sont nommés, avec du temps dédié.</w:t>
            </w:r>
          </w:p>
        </w:tc>
        <w:tc>
          <w:tcPr>
            <w:tcW w:type="dxa" w:w="964"/>
            <w:tcMar>
              <w:top w:type="dxa" w:w="80"/>
              <w:left w:type="dxa" w:w="110"/>
              <w:bottom w:type="dxa" w:w="80"/>
              <w:right w:type="dxa" w:w="110"/>
            </w:tcMar>
            <w:vAlign w:val="top"/>
          </w:tcPr>
          <w:p>
            <w:pPr>
              <w:spacing w:after="40" w:line="260"/>
            </w:pPr>
          </w:p>
        </w:tc>
        <w:tc>
          <w:tcPr>
            <w:tcW w:type="dxa" w:w="964"/>
            <w:tcMar>
              <w:top w:type="dxa" w:w="80"/>
              <w:left w:type="dxa" w:w="110"/>
              <w:bottom w:type="dxa" w:w="80"/>
              <w:right w:type="dxa" w:w="110"/>
            </w:tcMar>
            <w:vAlign w:val="top"/>
          </w:tcPr>
          <w:p>
            <w:pPr>
              <w:spacing w:after="40" w:line="260"/>
            </w:pPr>
          </w:p>
        </w:tc>
        <w:tc>
          <w:tcPr>
            <w:tcW w:type="dxa" w:w="964"/>
            <w:tcMar>
              <w:top w:type="dxa" w:w="80"/>
              <w:left w:type="dxa" w:w="110"/>
              <w:bottom w:type="dxa" w:w="80"/>
              <w:right w:type="dxa" w:w="110"/>
            </w:tcMar>
            <w:vAlign w:val="top"/>
          </w:tcPr>
          <w:p>
            <w:pPr>
              <w:spacing w:after="40" w:line="260"/>
            </w:pPr>
          </w:p>
        </w:tc>
      </w:tr>
      <w:tr>
        <w:trPr>
          <w:cantSplit/>
          <w:tblHeader w:val="false"/>
        </w:trPr>
        <w:tc>
          <w:tcPr>
            <w:tcW w:type="dxa" w:w="6747"/>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Un outil de référence en licence entreprise est déployé sur le périmètre.</w:t>
            </w:r>
          </w:p>
        </w:tc>
        <w:tc>
          <w:tcPr>
            <w:tcW w:type="dxa" w:w="964"/>
            <w:tcMar>
              <w:top w:type="dxa" w:w="80"/>
              <w:left w:type="dxa" w:w="110"/>
              <w:bottom w:type="dxa" w:w="80"/>
              <w:right w:type="dxa" w:w="110"/>
            </w:tcMar>
            <w:vAlign w:val="top"/>
          </w:tcPr>
          <w:p>
            <w:pPr>
              <w:spacing w:after="40" w:line="260"/>
            </w:pPr>
          </w:p>
        </w:tc>
        <w:tc>
          <w:tcPr>
            <w:tcW w:type="dxa" w:w="964"/>
            <w:tcMar>
              <w:top w:type="dxa" w:w="80"/>
              <w:left w:type="dxa" w:w="110"/>
              <w:bottom w:type="dxa" w:w="80"/>
              <w:right w:type="dxa" w:w="110"/>
            </w:tcMar>
            <w:vAlign w:val="top"/>
          </w:tcPr>
          <w:p>
            <w:pPr>
              <w:spacing w:after="40" w:line="260"/>
            </w:pPr>
          </w:p>
        </w:tc>
        <w:tc>
          <w:tcPr>
            <w:tcW w:type="dxa" w:w="964"/>
            <w:tcMar>
              <w:top w:type="dxa" w:w="80"/>
              <w:left w:type="dxa" w:w="110"/>
              <w:bottom w:type="dxa" w:w="80"/>
              <w:right w:type="dxa" w:w="110"/>
            </w:tcMar>
            <w:vAlign w:val="top"/>
          </w:tcPr>
          <w:p>
            <w:pPr>
              <w:spacing w:after="40" w:line="260"/>
            </w:pPr>
          </w:p>
        </w:tc>
      </w:tr>
      <w:tr>
        <w:trPr>
          <w:cantSplit/>
          <w:tblHeader w:val="false"/>
        </w:trPr>
        <w:tc>
          <w:tcPr>
            <w:tcW w:type="dxa" w:w="6747"/>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Les collaborateurs sont formés par métier et les formations sont tracées.</w:t>
            </w:r>
          </w:p>
        </w:tc>
        <w:tc>
          <w:tcPr>
            <w:tcW w:type="dxa" w:w="964"/>
            <w:tcMar>
              <w:top w:type="dxa" w:w="80"/>
              <w:left w:type="dxa" w:w="110"/>
              <w:bottom w:type="dxa" w:w="80"/>
              <w:right w:type="dxa" w:w="110"/>
            </w:tcMar>
            <w:vAlign w:val="top"/>
          </w:tcPr>
          <w:p>
            <w:pPr>
              <w:spacing w:after="40" w:line="260"/>
            </w:pPr>
          </w:p>
        </w:tc>
        <w:tc>
          <w:tcPr>
            <w:tcW w:type="dxa" w:w="964"/>
            <w:tcMar>
              <w:top w:type="dxa" w:w="80"/>
              <w:left w:type="dxa" w:w="110"/>
              <w:bottom w:type="dxa" w:w="80"/>
              <w:right w:type="dxa" w:w="110"/>
            </w:tcMar>
            <w:vAlign w:val="top"/>
          </w:tcPr>
          <w:p>
            <w:pPr>
              <w:spacing w:after="40" w:line="260"/>
            </w:pPr>
          </w:p>
        </w:tc>
        <w:tc>
          <w:tcPr>
            <w:tcW w:type="dxa" w:w="964"/>
            <w:tcMar>
              <w:top w:type="dxa" w:w="80"/>
              <w:left w:type="dxa" w:w="110"/>
              <w:bottom w:type="dxa" w:w="80"/>
              <w:right w:type="dxa" w:w="110"/>
            </w:tcMar>
            <w:vAlign w:val="top"/>
          </w:tcPr>
          <w:p>
            <w:pPr>
              <w:spacing w:after="40" w:line="260"/>
            </w:pPr>
          </w:p>
        </w:tc>
      </w:tr>
      <w:tr>
        <w:trPr>
          <w:cantSplit/>
          <w:tblHeader w:val="false"/>
        </w:trPr>
        <w:tc>
          <w:tcPr>
            <w:tcW w:type="dxa" w:w="6747"/>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Un réseau d'ambassadeurs est actif et reconnu.</w:t>
            </w:r>
          </w:p>
        </w:tc>
        <w:tc>
          <w:tcPr>
            <w:tcW w:type="dxa" w:w="964"/>
            <w:tcMar>
              <w:top w:type="dxa" w:w="80"/>
              <w:left w:type="dxa" w:w="110"/>
              <w:bottom w:type="dxa" w:w="80"/>
              <w:right w:type="dxa" w:w="110"/>
            </w:tcMar>
            <w:vAlign w:val="top"/>
          </w:tcPr>
          <w:p>
            <w:pPr>
              <w:spacing w:after="40" w:line="260"/>
            </w:pPr>
          </w:p>
        </w:tc>
        <w:tc>
          <w:tcPr>
            <w:tcW w:type="dxa" w:w="964"/>
            <w:tcMar>
              <w:top w:type="dxa" w:w="80"/>
              <w:left w:type="dxa" w:w="110"/>
              <w:bottom w:type="dxa" w:w="80"/>
              <w:right w:type="dxa" w:w="110"/>
            </w:tcMar>
            <w:vAlign w:val="top"/>
          </w:tcPr>
          <w:p>
            <w:pPr>
              <w:spacing w:after="40" w:line="260"/>
            </w:pPr>
          </w:p>
        </w:tc>
        <w:tc>
          <w:tcPr>
            <w:tcW w:type="dxa" w:w="964"/>
            <w:tcMar>
              <w:top w:type="dxa" w:w="80"/>
              <w:left w:type="dxa" w:w="110"/>
              <w:bottom w:type="dxa" w:w="80"/>
              <w:right w:type="dxa" w:w="110"/>
            </w:tcMar>
            <w:vAlign w:val="top"/>
          </w:tcPr>
          <w:p>
            <w:pPr>
              <w:spacing w:after="40" w:line="260"/>
            </w:pPr>
          </w:p>
        </w:tc>
      </w:tr>
      <w:tr>
        <w:trPr>
          <w:cantSplit/>
          <w:tblHeader w:val="false"/>
        </w:trPr>
        <w:tc>
          <w:tcPr>
            <w:tcW w:type="dxa" w:w="6747"/>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Les cas d'usage sont inventoriés, classés et arbitrés en comité.</w:t>
            </w:r>
          </w:p>
        </w:tc>
        <w:tc>
          <w:tcPr>
            <w:tcW w:type="dxa" w:w="964"/>
            <w:tcMar>
              <w:top w:type="dxa" w:w="80"/>
              <w:left w:type="dxa" w:w="110"/>
              <w:bottom w:type="dxa" w:w="80"/>
              <w:right w:type="dxa" w:w="110"/>
            </w:tcMar>
            <w:vAlign w:val="top"/>
          </w:tcPr>
          <w:p>
            <w:pPr>
              <w:spacing w:after="40" w:line="260"/>
            </w:pPr>
          </w:p>
        </w:tc>
        <w:tc>
          <w:tcPr>
            <w:tcW w:type="dxa" w:w="964"/>
            <w:tcMar>
              <w:top w:type="dxa" w:w="80"/>
              <w:left w:type="dxa" w:w="110"/>
              <w:bottom w:type="dxa" w:w="80"/>
              <w:right w:type="dxa" w:w="110"/>
            </w:tcMar>
            <w:vAlign w:val="top"/>
          </w:tcPr>
          <w:p>
            <w:pPr>
              <w:spacing w:after="40" w:line="260"/>
            </w:pPr>
          </w:p>
        </w:tc>
        <w:tc>
          <w:tcPr>
            <w:tcW w:type="dxa" w:w="964"/>
            <w:tcMar>
              <w:top w:type="dxa" w:w="80"/>
              <w:left w:type="dxa" w:w="110"/>
              <w:bottom w:type="dxa" w:w="80"/>
              <w:right w:type="dxa" w:w="110"/>
            </w:tcMar>
            <w:vAlign w:val="top"/>
          </w:tcPr>
          <w:p>
            <w:pPr>
              <w:spacing w:after="40" w:line="260"/>
            </w:pPr>
          </w:p>
        </w:tc>
      </w:tr>
      <w:tr>
        <w:trPr>
          <w:cantSplit/>
          <w:tblHeader w:val="false"/>
        </w:trPr>
        <w:tc>
          <w:tcPr>
            <w:tcW w:type="dxa" w:w="6747"/>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Au moins un pilote a été mesuré avant/après et a donné lieu à une décision.</w:t>
            </w:r>
          </w:p>
        </w:tc>
        <w:tc>
          <w:tcPr>
            <w:tcW w:type="dxa" w:w="964"/>
            <w:tcMar>
              <w:top w:type="dxa" w:w="80"/>
              <w:left w:type="dxa" w:w="110"/>
              <w:bottom w:type="dxa" w:w="80"/>
              <w:right w:type="dxa" w:w="110"/>
            </w:tcMar>
            <w:vAlign w:val="top"/>
          </w:tcPr>
          <w:p>
            <w:pPr>
              <w:spacing w:after="40" w:line="260"/>
            </w:pPr>
          </w:p>
        </w:tc>
        <w:tc>
          <w:tcPr>
            <w:tcW w:type="dxa" w:w="964"/>
            <w:tcMar>
              <w:top w:type="dxa" w:w="80"/>
              <w:left w:type="dxa" w:w="110"/>
              <w:bottom w:type="dxa" w:w="80"/>
              <w:right w:type="dxa" w:w="110"/>
            </w:tcMar>
            <w:vAlign w:val="top"/>
          </w:tcPr>
          <w:p>
            <w:pPr>
              <w:spacing w:after="40" w:line="260"/>
            </w:pPr>
          </w:p>
        </w:tc>
        <w:tc>
          <w:tcPr>
            <w:tcW w:type="dxa" w:w="964"/>
            <w:tcMar>
              <w:top w:type="dxa" w:w="80"/>
              <w:left w:type="dxa" w:w="110"/>
              <w:bottom w:type="dxa" w:w="80"/>
              <w:right w:type="dxa" w:w="110"/>
            </w:tcMar>
            <w:vAlign w:val="top"/>
          </w:tcPr>
          <w:p>
            <w:pPr>
              <w:spacing w:after="40" w:line="260"/>
            </w:pPr>
          </w:p>
        </w:tc>
      </w:tr>
      <w:tr>
        <w:trPr>
          <w:cantSplit/>
          <w:tblHeader w:val="false"/>
        </w:trPr>
        <w:tc>
          <w:tcPr>
            <w:tcW w:type="dxa" w:w="6747"/>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Un tableau de bord d'adoption et de valeur est suivi mensuellement.</w:t>
            </w:r>
          </w:p>
        </w:tc>
        <w:tc>
          <w:tcPr>
            <w:tcW w:type="dxa" w:w="964"/>
            <w:tcMar>
              <w:top w:type="dxa" w:w="80"/>
              <w:left w:type="dxa" w:w="110"/>
              <w:bottom w:type="dxa" w:w="80"/>
              <w:right w:type="dxa" w:w="110"/>
            </w:tcMar>
            <w:vAlign w:val="top"/>
          </w:tcPr>
          <w:p>
            <w:pPr>
              <w:spacing w:after="40" w:line="260"/>
            </w:pPr>
          </w:p>
        </w:tc>
        <w:tc>
          <w:tcPr>
            <w:tcW w:type="dxa" w:w="964"/>
            <w:tcMar>
              <w:top w:type="dxa" w:w="80"/>
              <w:left w:type="dxa" w:w="110"/>
              <w:bottom w:type="dxa" w:w="80"/>
              <w:right w:type="dxa" w:w="110"/>
            </w:tcMar>
            <w:vAlign w:val="top"/>
          </w:tcPr>
          <w:p>
            <w:pPr>
              <w:spacing w:after="40" w:line="260"/>
            </w:pPr>
          </w:p>
        </w:tc>
        <w:tc>
          <w:tcPr>
            <w:tcW w:type="dxa" w:w="964"/>
            <w:tcMar>
              <w:top w:type="dxa" w:w="80"/>
              <w:left w:type="dxa" w:w="110"/>
              <w:bottom w:type="dxa" w:w="80"/>
              <w:right w:type="dxa" w:w="110"/>
            </w:tcMar>
            <w:vAlign w:val="top"/>
          </w:tcPr>
          <w:p>
            <w:pPr>
              <w:spacing w:after="40" w:line="260"/>
            </w:pPr>
          </w:p>
        </w:tc>
      </w:tr>
      <w:tr>
        <w:trPr>
          <w:cantSplit/>
          <w:tblHeader w:val="false"/>
        </w:trPr>
        <w:tc>
          <w:tcPr>
            <w:tcW w:type="dxa" w:w="6747"/>
            <w:tcMar>
              <w:top w:type="dxa" w:w="80"/>
              <w:left w:type="dxa" w:w="110"/>
              <w:bottom w:type="dxa" w:w="80"/>
              <w:right w:type="dxa" w:w="110"/>
            </w:tcMar>
            <w:vAlign w:val="top"/>
          </w:tcPr>
          <w:p>
            <w:pPr>
              <w:spacing w:after="40" w:line="260"/>
            </w:pPr>
            <w:r>
              <w:rPr>
                <w:rFonts w:ascii="Calibri" w:cs="Calibri" w:eastAsia="Calibri" w:hAnsi="Calibri"/>
                <w:sz w:val="19"/>
                <w:szCs w:val="19"/>
              </w:rPr>
              <w:t xml:space="preserve">Des usages collectifs (assistants partagés, agents, coworks) sont en production.</w:t>
            </w:r>
          </w:p>
        </w:tc>
        <w:tc>
          <w:tcPr>
            <w:tcW w:type="dxa" w:w="964"/>
            <w:tcMar>
              <w:top w:type="dxa" w:w="80"/>
              <w:left w:type="dxa" w:w="110"/>
              <w:bottom w:type="dxa" w:w="80"/>
              <w:right w:type="dxa" w:w="110"/>
            </w:tcMar>
            <w:vAlign w:val="top"/>
          </w:tcPr>
          <w:p>
            <w:pPr>
              <w:spacing w:after="40" w:line="260"/>
            </w:pPr>
          </w:p>
        </w:tc>
        <w:tc>
          <w:tcPr>
            <w:tcW w:type="dxa" w:w="964"/>
            <w:tcMar>
              <w:top w:type="dxa" w:w="80"/>
              <w:left w:type="dxa" w:w="110"/>
              <w:bottom w:type="dxa" w:w="80"/>
              <w:right w:type="dxa" w:w="110"/>
            </w:tcMar>
            <w:vAlign w:val="top"/>
          </w:tcPr>
          <w:p>
            <w:pPr>
              <w:spacing w:after="40" w:line="260"/>
            </w:pPr>
          </w:p>
        </w:tc>
        <w:tc>
          <w:tcPr>
            <w:tcW w:type="dxa" w:w="964"/>
            <w:tcMar>
              <w:top w:type="dxa" w:w="80"/>
              <w:left w:type="dxa" w:w="110"/>
              <w:bottom w:type="dxa" w:w="80"/>
              <w:right w:type="dxa" w:w="110"/>
            </w:tcMar>
            <w:vAlign w:val="top"/>
          </w:tcPr>
          <w:p>
            <w:pPr>
              <w:spacing w:after="40" w:line="260"/>
            </w:pPr>
          </w:p>
        </w:tc>
      </w:tr>
      <w:tr>
        <w:trPr>
          <w:cantSplit/>
          <w:tblHeader w:val="false"/>
        </w:trPr>
        <w:tc>
          <w:tcPr>
            <w:tcW w:type="dxa" w:w="6747"/>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Total sur 40</w:t>
            </w:r>
          </w:p>
        </w:tc>
        <w:tc>
          <w:tcPr>
            <w:tcW w:type="dxa" w:w="964"/>
            <w:tcMar>
              <w:top w:type="dxa" w:w="80"/>
              <w:left w:type="dxa" w:w="110"/>
              <w:bottom w:type="dxa" w:w="80"/>
              <w:right w:type="dxa" w:w="110"/>
            </w:tcMar>
            <w:vAlign w:val="top"/>
          </w:tcPr>
          <w:p>
            <w:pPr>
              <w:spacing w:after="40" w:line="260"/>
            </w:pPr>
          </w:p>
        </w:tc>
        <w:tc>
          <w:tcPr>
            <w:tcW w:type="dxa" w:w="964"/>
            <w:tcMar>
              <w:top w:type="dxa" w:w="80"/>
              <w:left w:type="dxa" w:w="110"/>
              <w:bottom w:type="dxa" w:w="80"/>
              <w:right w:type="dxa" w:w="110"/>
            </w:tcMar>
            <w:vAlign w:val="top"/>
          </w:tcPr>
          <w:p>
            <w:pPr>
              <w:spacing w:after="40" w:line="260"/>
            </w:pPr>
          </w:p>
        </w:tc>
        <w:tc>
          <w:tcPr>
            <w:tcW w:type="dxa" w:w="964"/>
            <w:tcMar>
              <w:top w:type="dxa" w:w="80"/>
              <w:left w:type="dxa" w:w="110"/>
              <w:bottom w:type="dxa" w:w="80"/>
              <w:right w:type="dxa" w:w="110"/>
            </w:tcMar>
            <w:vAlign w:val="top"/>
          </w:tcPr>
          <w:p>
            <w:pPr>
              <w:spacing w:after="40" w:line="260"/>
            </w:pPr>
          </w:p>
        </w:tc>
      </w:tr>
    </w:tbl>
    <w:p>
      <w:pPr>
        <w:spacing w:after="120"/>
      </w:pPr>
    </w:p>
    <w:tbl>
      <w:tblPr>
        <w:tblW w:type="dxa" w:w="9638"/>
        <w:tblBorders>
          <w:top w:val="single" w:color="C9D3E0" w:sz="4"/>
          <w:left w:val="single" w:color="C9D3E0" w:sz="4"/>
          <w:bottom w:val="single" w:color="C9D3E0" w:sz="4"/>
          <w:right w:val="single" w:color="C9D3E0" w:sz="4"/>
          <w:insideH w:val="single" w:color="C9D3E0" w:sz="4"/>
          <w:insideV w:val="single" w:color="C9D3E0" w:sz="4"/>
        </w:tblBorders>
      </w:tblPr>
      <w:tblGrid>
        <w:gridCol w:w="1928"/>
        <w:gridCol w:w="7710"/>
      </w:tblGrid>
      <w:tr>
        <w:trPr>
          <w:cantSplit/>
          <w:tblHeader/>
        </w:trPr>
        <w:tc>
          <w:tcPr>
            <w:tcW w:type="dxa" w:w="1928"/>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Score</w:t>
            </w:r>
          </w:p>
        </w:tc>
        <w:tc>
          <w:tcPr>
            <w:tcW w:type="dxa" w:w="7710"/>
            <w:shd w:fill="0F2D5E" w:color="auto" w:val="clear"/>
            <w:tcMar>
              <w:top w:type="dxa" w:w="80"/>
              <w:left w:type="dxa" w:w="110"/>
              <w:bottom w:type="dxa" w:w="80"/>
              <w:right w:type="dxa" w:w="110"/>
            </w:tcMar>
            <w:vAlign w:val="top"/>
          </w:tcPr>
          <w:p>
            <w:pPr>
              <w:spacing w:after="40" w:line="260"/>
            </w:pPr>
            <w:r>
              <w:rPr>
                <w:rFonts w:ascii="Calibri" w:cs="Calibri" w:eastAsia="Calibri" w:hAnsi="Calibri"/>
                <w:b/>
                <w:bCs/>
                <w:color w:val="FFFFFF"/>
                <w:sz w:val="19"/>
                <w:szCs w:val="19"/>
              </w:rPr>
              <w:t xml:space="preserve">Lecture</w:t>
            </w:r>
          </w:p>
        </w:tc>
      </w:tr>
      <w:tr>
        <w:trPr>
          <w:cantSplit/>
          <w:tblHeader w:val="false"/>
        </w:trPr>
        <w:tc>
          <w:tcPr>
            <w:tcW w:type="dxa" w:w="1928"/>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0 à 10</w:t>
            </w:r>
          </w:p>
        </w:tc>
        <w:tc>
          <w:tcPr>
            <w:tcW w:type="dxa" w:w="7710"/>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Usages dispersés.</w:t>
            </w:r>
            <w:r>
              <w:rPr>
                <w:rFonts w:ascii="Calibri" w:cs="Calibri" w:eastAsia="Calibri" w:hAnsi="Calibri"/>
                <w:b w:val="false"/>
                <w:bCs w:val="false"/>
                <w:sz w:val="19"/>
                <w:szCs w:val="19"/>
              </w:rPr>
              <w:t xml:space="preserve"> L'IA est utilisée sans cadre. Priorité au cadrage, à la charte et à l'outil de référence (trimestre 1 du kit).</w:t>
            </w:r>
          </w:p>
        </w:tc>
      </w:tr>
      <w:tr>
        <w:trPr>
          <w:cantSplit/>
          <w:tblHeader w:val="false"/>
        </w:trPr>
        <w:tc>
          <w:tcPr>
            <w:tcW w:type="dxa" w:w="1928"/>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11 à 20</w:t>
            </w:r>
          </w:p>
        </w:tc>
        <w:tc>
          <w:tcPr>
            <w:tcW w:type="dxa" w:w="7710"/>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Cadre posé.</w:t>
            </w:r>
            <w:r>
              <w:rPr>
                <w:rFonts w:ascii="Calibri" w:cs="Calibri" w:eastAsia="Calibri" w:hAnsi="Calibri"/>
                <w:b w:val="false"/>
                <w:bCs w:val="false"/>
                <w:sz w:val="19"/>
                <w:szCs w:val="19"/>
              </w:rPr>
              <w:t xml:space="preserve"> Les bases existent, l'usage reste inégal. Priorité aux pilotes mesurés et à la formation des managers (trimestre 2).</w:t>
            </w:r>
          </w:p>
        </w:tc>
      </w:tr>
      <w:tr>
        <w:trPr>
          <w:cantSplit/>
          <w:tblHeader w:val="false"/>
        </w:trPr>
        <w:tc>
          <w:tcPr>
            <w:tcW w:type="dxa" w:w="1928"/>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21 à 30</w:t>
            </w:r>
          </w:p>
        </w:tc>
        <w:tc>
          <w:tcPr>
            <w:tcW w:type="dxa" w:w="7710"/>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Adoption en cours.</w:t>
            </w:r>
            <w:r>
              <w:rPr>
                <w:rFonts w:ascii="Calibri" w:cs="Calibri" w:eastAsia="Calibri" w:hAnsi="Calibri"/>
                <w:b w:val="false"/>
                <w:bCs w:val="false"/>
                <w:sz w:val="19"/>
                <w:szCs w:val="19"/>
              </w:rPr>
              <w:t xml:space="preserve"> La pratique se généralise. Priorité à la bibliothèque, à l'animation et à la mesure par direction (trimestre 3).</w:t>
            </w:r>
          </w:p>
        </w:tc>
      </w:tr>
      <w:tr>
        <w:trPr>
          <w:cantSplit/>
          <w:tblHeader w:val="false"/>
        </w:trPr>
        <w:tc>
          <w:tcPr>
            <w:tcW w:type="dxa" w:w="1928"/>
            <w:shd w:fill="EAF1FB" w:color="auto" w:val="clear"/>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31 à 40</w:t>
            </w:r>
          </w:p>
        </w:tc>
        <w:tc>
          <w:tcPr>
            <w:tcW w:type="dxa" w:w="7710"/>
            <w:tcMar>
              <w:top w:type="dxa" w:w="80"/>
              <w:left w:type="dxa" w:w="110"/>
              <w:bottom w:type="dxa" w:w="80"/>
              <w:right w:type="dxa" w:w="110"/>
            </w:tcMar>
            <w:vAlign w:val="top"/>
          </w:tcPr>
          <w:p>
            <w:pPr>
              <w:spacing w:after="40" w:line="260"/>
            </w:pPr>
            <w:r>
              <w:rPr>
                <w:rFonts w:ascii="Calibri" w:cs="Calibri" w:eastAsia="Calibri" w:hAnsi="Calibri"/>
                <w:b/>
                <w:bCs/>
                <w:sz w:val="19"/>
                <w:szCs w:val="19"/>
              </w:rPr>
              <w:t xml:space="preserve">Organisation outillée.</w:t>
            </w:r>
            <w:r>
              <w:rPr>
                <w:rFonts w:ascii="Calibri" w:cs="Calibri" w:eastAsia="Calibri" w:hAnsi="Calibri"/>
                <w:b w:val="false"/>
                <w:bCs w:val="false"/>
                <w:sz w:val="19"/>
                <w:szCs w:val="19"/>
              </w:rPr>
              <w:t xml:space="preserve"> Les usages collectifs sont là. Priorité aux agents, à l'industrialisation et à la feuille de route année 2 (trimestre 4).</w:t>
            </w:r>
          </w:p>
        </w:tc>
      </w:tr>
    </w:tbl>
    <w:p>
      <w:pPr>
        <w:pStyle w:val="Heading1"/>
        <w:pageBreakBefore/>
        <w:spacing w:after="240" w:before="0"/>
      </w:pPr>
      <w:r>
        <w:rPr>
          <w:rFonts w:ascii="Calibri" w:cs="Calibri" w:eastAsia="Calibri" w:hAnsi="Calibri"/>
        </w:rPr>
        <w:t xml:space="preserve">Annexe H. Pour aller plus loin</w:t>
      </w:r>
    </w:p>
    <w:p>
      <w:pPr>
        <w:spacing w:after="140" w:before="0" w:line="276"/>
      </w:pPr>
      <w:r>
        <w:rPr>
          <w:rFonts w:ascii="Calibri" w:cs="Calibri" w:eastAsia="Calibri" w:hAnsi="Calibri"/>
        </w:rPr>
        <w:t xml:space="preserve">Ce kit fait partie d'une série de ressources gratuites publiées par NextStart.AI pour aider les grandes organisations à structurer leur adoption de l'IA générative. Elles se complètent :</w:t>
      </w:r>
    </w:p>
    <w:p>
      <w:pPr>
        <w:pStyle w:val="ListParagraph"/>
        <w:numPr>
          <w:ilvl w:val="0"/>
          <w:numId w:val="2"/>
        </w:numPr>
        <w:spacing w:after="80" w:line="276"/>
      </w:pPr>
      <w:r>
        <w:rPr>
          <w:rFonts w:ascii="Calibri" w:cs="Calibri" w:eastAsia="Calibri" w:hAnsi="Calibri"/>
          <w:b/>
          <w:bCs/>
        </w:rPr>
        <w:t xml:space="preserve">Modèle de charte IA entreprise</w:t>
      </w:r>
      <w:r>
        <w:rPr>
          <w:rFonts w:ascii="Calibri" w:cs="Calibri" w:eastAsia="Calibri" w:hAnsi="Calibri"/>
        </w:rPr>
        <w:t xml:space="preserve"> : le document à publier au trimestre 1, prêt à adapter, sur www.nextstart.ai.</w:t>
      </w:r>
    </w:p>
    <w:p>
      <w:pPr>
        <w:pStyle w:val="ListParagraph"/>
        <w:numPr>
          <w:ilvl w:val="0"/>
          <w:numId w:val="2"/>
        </w:numPr>
        <w:spacing w:after="80" w:line="276"/>
      </w:pPr>
      <w:r>
        <w:rPr>
          <w:rFonts w:ascii="Calibri" w:cs="Calibri" w:eastAsia="Calibri" w:hAnsi="Calibri"/>
          <w:b/>
          <w:bCs/>
        </w:rPr>
        <w:t xml:space="preserve">Kit Ambassadeurs IA</w:t>
      </w:r>
      <w:r>
        <w:rPr>
          <w:rFonts w:ascii="Calibri" w:cs="Calibri" w:eastAsia="Calibri" w:hAnsi="Calibri"/>
        </w:rPr>
        <w:t xml:space="preserve"> : cadrer, recruter, lancer, animer et mesurer un réseau d'ambassadeurs, sur www.nextstart.ai.</w:t>
      </w:r>
    </w:p>
    <w:p>
      <w:pPr>
        <w:pStyle w:val="ListParagraph"/>
        <w:numPr>
          <w:ilvl w:val="0"/>
          <w:numId w:val="2"/>
        </w:numPr>
        <w:spacing w:after="80" w:line="276"/>
      </w:pPr>
      <w:r>
        <w:rPr>
          <w:rFonts w:ascii="Calibri" w:cs="Calibri" w:eastAsia="Calibri" w:hAnsi="Calibri"/>
          <w:b/>
          <w:bCs/>
        </w:rPr>
        <w:t xml:space="preserve">Catalogue IA NextStart</w:t>
      </w:r>
      <w:r>
        <w:rPr>
          <w:rFonts w:ascii="Calibri" w:cs="Calibri" w:eastAsia="Calibri" w:hAnsi="Calibri"/>
        </w:rPr>
        <w:t xml:space="preserve"> : plus d'une centaine de prompts, assistants, agents et configurations Cowork classés par métier, en accès libre sur app.nextstart.ai, pour amorcer votre bibliothèque interne.</w:t>
      </w:r>
    </w:p>
    <w:p>
      <w:pPr>
        <w:spacing w:after="140" w:before="0" w:line="276"/>
      </w:pPr>
      <w:r>
        <w:rPr>
          <w:rFonts w:ascii="Calibri" w:cs="Calibri" w:eastAsia="Calibri" w:hAnsi="Calibri"/>
        </w:rPr>
        <w:t xml:space="preserve">Sur le cadre réglementaire, le texte de référence est le règlement (UE) 2024/1689 (AI Act), dont l'article 4 porte sur la maîtrise de l'IA. Les orientations de la Commission européenne et les publications de la CNIL sur l'IA générative complètent utilement ce kit ; vérifiez les dates d'application en vigueur au moment de votre déploiement.</w:t>
      </w:r>
    </w:p>
    <w:p>
      <w:pPr>
        <w:spacing w:after="120"/>
      </w:pPr>
    </w:p>
    <w:tbl>
      <w:tblPr>
        <w:tblW w:type="dxa" w:w="9638"/>
        <w:tblBorders>
          <w:top w:val="none" w:color="FFFFFF" w:sz="0"/>
          <w:left w:val="none" w:color="FFFFFF" w:sz="0"/>
          <w:bottom w:val="none" w:color="FFFFFF" w:sz="0"/>
          <w:right w:val="none" w:color="FFFFFF" w:sz="0"/>
          <w:insideH w:val="none" w:color="FFFFFF" w:sz="0"/>
          <w:insideV w:val="none" w:color="FFFFFF" w:sz="0"/>
        </w:tblBorders>
      </w:tblPr>
      <w:tblGrid>
        <w:gridCol w:w="9638"/>
      </w:tblGrid>
      <w:tr>
        <w:tc>
          <w:tcPr>
            <w:tcW w:type="dxa" w:w="9638"/>
            <w:tcBorders>
              <w:top w:val="none" w:color="FFFFFF" w:sz="0"/>
              <w:left w:val="single" w:color="1F5FBF" w:sz="24"/>
              <w:bottom w:val="none" w:color="FFFFFF" w:sz="0"/>
              <w:right w:val="none" w:color="FFFFFF" w:sz="0"/>
            </w:tcBorders>
            <w:shd w:fill="EAF1FB" w:color="auto" w:val="clear"/>
            <w:tcMar>
              <w:top w:type="dxa" w:w="140"/>
              <w:left w:type="dxa" w:w="200"/>
              <w:bottom w:type="dxa" w:w="100"/>
              <w:right w:type="dxa" w:w="200"/>
            </w:tcMar>
          </w:tcPr>
          <w:p>
            <w:pPr>
              <w:spacing w:after="80"/>
            </w:pPr>
            <w:r>
              <w:rPr>
                <w:rFonts w:ascii="Calibri" w:cs="Calibri" w:eastAsia="Calibri" w:hAnsi="Calibri"/>
                <w:b/>
                <w:bCs/>
                <w:color w:val="0F2D5E"/>
                <w:sz w:val="21"/>
                <w:szCs w:val="21"/>
              </w:rPr>
              <w:t xml:space="preserve">À propos de NextStart.AI</w:t>
            </w:r>
          </w:p>
          <w:p>
            <w:pPr>
              <w:spacing w:after="60" w:line="264"/>
            </w:pPr>
            <w:r>
              <w:rPr>
                <w:rFonts w:ascii="Calibri" w:cs="Calibri" w:eastAsia="Calibri" w:hAnsi="Calibri"/>
                <w:sz w:val="20"/>
                <w:szCs w:val="20"/>
              </w:rPr>
              <w:t xml:space="preserve">NextStart.AI forme et accompagne les grandes organisations dans leur adoption de l'IA générative depuis 2016 : sensibilisation des comités de direction, formations pratiques par métier (Prompt Party, Masterclass), programmes managers (Change Catalysts), sprints agents et Cowork, et conseil sur la feuille de route. Nous intervenons auprès d'entreprises et d'institutions comme Airbus, le CNES, Engie, le CEA ou Crédit Agricole.</w:t>
            </w:r>
          </w:p>
          <w:p>
            <w:pPr>
              <w:spacing w:after="60" w:line="264"/>
            </w:pPr>
            <w:r>
              <w:rPr>
                <w:rFonts w:ascii="Calibri" w:cs="Calibri" w:eastAsia="Calibri" w:hAnsi="Calibri"/>
                <w:sz w:val="20"/>
                <w:szCs w:val="20"/>
              </w:rPr>
              <w:t xml:space="preserve">Ce document est diffusé librement pour un usage interne. Il peut être adapté et reproduit dans votre organisation en mentionnant sa source. Contact : www.nextstart.ai</w:t>
            </w:r>
          </w:p>
        </w:tc>
      </w:tr>
    </w:tbl>
    <w:sectPr>
      <w:headerReference w:type="default" r:id="rId7"/>
      <w:footerReference w:type="default" r:id="rId8"/>
      <w:pgSz w:w="11906" w:h="16838" w:orient="portrait"/>
      <w:pgMar w:top="1134" w:right="1134" w:bottom="1134" w:left="1134" w:header="567" w:footer="567" w:gutter="0"/>
      <w:pgNumType w:start="2"/>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5A6472"/>
        <w:sz w:val="16"/>
        <w:szCs w:val="16"/>
      </w:rPr>
      <w:t xml:space="preserve">Page </w:t>
    </w:r>
    <w:r>
      <w:rPr>
        <w:rFonts w:ascii="Calibri" w:cs="Calibri" w:eastAsia="Calibri" w:hAnsi="Calibri"/>
        <w:color w:val="5A6472"/>
        <w:sz w:val="16"/>
        <w:szCs w:val="16"/>
      </w:rPr>
      <w:fldChar w:fldCharType="begin"/>
      <w:instrText xml:space="preserve">PAGE</w:instrText>
      <w:fldChar w:fldCharType="separate"/>
      <w:fldChar w:fldCharType="end"/>
    </w:r>
    <w:r>
      <w:rPr>
        <w:rFonts w:ascii="Calibri" w:cs="Calibri" w:eastAsia="Calibri" w:hAnsi="Calibri"/>
        <w:color w:val="5A6472"/>
        <w:sz w:val="16"/>
        <w:szCs w:val="16"/>
      </w:rPr>
      <w:t xml:space="preserve">   ·   www.nextstart.ai   ·   Usage interne libre, source à mentionner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D3E0" w:sz="4"/>
      </w:pBdr>
      <w:tabs>
        <w:tab w:val="right" w:pos="9638"/>
      </w:tabs>
      <w:spacing w:after="0"/>
    </w:pPr>
    <w:r>
      <w:rPr>
        <w:rFonts w:ascii="Calibri" w:cs="Calibri" w:eastAsia="Calibri" w:hAnsi="Calibri"/>
        <w:color w:val="5A6472"/>
        <w:sz w:val="16"/>
        <w:szCs w:val="16"/>
      </w:rPr>
      <w:t xml:space="preserve">Kit Feuille de route d'adoption de l'IA en 12 mois</w:t>
    </w:r>
    <w:r>
      <w:rPr>
        <w:rFonts w:ascii="Calibri" w:cs="Calibri" w:eastAsia="Calibri" w:hAnsi="Calibri"/>
        <w:b/>
        <w:bCs/>
        <w:color w:val="1F5FBF"/>
        <w:sz w:val="16"/>
        <w:szCs w:val="16"/>
      </w:rPr>
      <w:t xml:space="preserve">	NextStart.AI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00" w:hanging="260"/>
      </w:pPr>
      <w:rPr>
        <w:color w:val="1F5FBF"/>
      </w:rPr>
    </w:lvl>
  </w:abstractNum>
  <w:abstractNum w:abstractNumId="3" w15:restartNumberingAfterBreak="0">
    <w:multiLevelType w:val="hybridMultilevel"/>
    <w:lvl w:ilvl="0" w15:tentative="1">
      <w:start w:val="1"/>
      <w:numFmt w:val="decimal"/>
      <w:lvlText w:val="%1."/>
      <w:lvlJc w:val="left"/>
      <w:pPr>
        <w:ind w:left="500" w:hanging="320"/>
      </w:pPr>
      <w:rPr>
        <w:b/>
        <w:bCs/>
        <w:color w:val="1F5FBF"/>
      </w:r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F2933"/>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40" w:before="0"/>
      <w:outlineLvl w:val="0"/>
    </w:pPr>
    <w:rPr>
      <w:rFonts w:ascii="Calibri" w:cs="Calibri" w:eastAsia="Calibri" w:hAnsi="Calibri"/>
      <w:b/>
      <w:bCs/>
      <w:color w:val="0F2D5E"/>
      <w:sz w:val="40"/>
      <w:szCs w:val="40"/>
    </w:rPr>
  </w:style>
  <w:style w:type="paragraph" w:styleId="Heading2">
    <w:name w:val="Heading 2"/>
    <w:basedOn w:val="Normal"/>
    <w:next w:val="Normal"/>
    <w:qFormat/>
    <w:pPr>
      <w:spacing w:after="140" w:before="320"/>
      <w:outlineLvl w:val="1"/>
    </w:pPr>
    <w:rPr>
      <w:rFonts w:ascii="Calibri" w:cs="Calibri" w:eastAsia="Calibri" w:hAnsi="Calibri"/>
      <w:b/>
      <w:bCs/>
      <w:color w:val="1F5FBF"/>
      <w:sz w:val="28"/>
      <w:szCs w:val="28"/>
    </w:rPr>
  </w:style>
  <w:style w:type="paragraph" w:styleId="Heading3">
    <w:name w:val="Heading 3"/>
    <w:basedOn w:val="Normal"/>
    <w:next w:val="Normal"/>
    <w:qFormat/>
    <w:pPr>
      <w:spacing w:after="100" w:before="220"/>
      <w:outlineLvl w:val="2"/>
    </w:pPr>
    <w:rPr>
      <w:rFonts w:ascii="Calibri" w:cs="Calibri" w:eastAsia="Calibri" w:hAnsi="Calibri"/>
      <w:b/>
      <w:bCs/>
      <w:color w:val="0F2D5E"/>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 Feuille de route d'adoption de l'IA en 12 mois</dc:title>
  <dc:creator>NextStart.AI</dc:creator>
  <dc:description>Modèle NextStart.AI, édition 2026</dc:description>
  <cp:lastModifiedBy>Un-named</cp:lastModifiedBy>
  <cp:revision>1</cp:revision>
  <dcterms:created xsi:type="dcterms:W3CDTF">2026-09-14T19:43:40.370Z</dcterms:created>
  <dcterms:modified xsi:type="dcterms:W3CDTF">2026-09-14T19:43:40.371Z</dcterms:modified>
</cp:coreProperties>
</file>

<file path=docProps/custom.xml><?xml version="1.0" encoding="utf-8"?>
<Properties xmlns="http://schemas.openxmlformats.org/officeDocument/2006/custom-properties" xmlns:vt="http://schemas.openxmlformats.org/officeDocument/2006/docPropsVTypes"/>
</file>