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pPr>
    </w:p>
    <w:p>
      <w:pPr>
        <w:spacing w:after="200" w:before="0" w:line="276" w:lineRule="auto"/>
      </w:pPr>
      <w:r>
        <w:rPr>
          <w:rFonts w:ascii="Arial" w:cs="Arial" w:eastAsia="Arial" w:hAnsi="Arial"/>
          <w:b/>
          <w:bCs/>
          <w:color w:val="176CAD"/>
          <w:sz w:val="22"/>
          <w:szCs w:val="22"/>
        </w:rPr>
        <w:t xml:space="preserve">KIT NEXTSTART.AI</w:t>
      </w:r>
    </w:p>
    <w:p>
      <w:pPr>
        <w:spacing w:after="200"/>
      </w:pPr>
      <w:r>
        <w:rPr>
          <w:rFonts w:ascii="Arial" w:cs="Arial" w:eastAsia="Arial" w:hAnsi="Arial"/>
          <w:b/>
          <w:bCs/>
          <w:color w:val="0F172A"/>
          <w:sz w:val="64"/>
          <w:szCs w:val="64"/>
        </w:rPr>
        <w:t xml:space="preserve">Grille de maturité IA</w:t>
      </w:r>
    </w:p>
    <w:p>
      <w:pPr>
        <w:spacing w:after="600"/>
      </w:pPr>
      <w:r>
        <w:rPr>
          <w:rFonts w:ascii="Arial" w:cs="Arial" w:eastAsia="Arial" w:hAnsi="Arial"/>
          <w:color w:val="475569"/>
          <w:sz w:val="30"/>
          <w:szCs w:val="30"/>
        </w:rPr>
        <w:t xml:space="preserve">Situer votre organisation en 90 minutes, décider les deux prochains chantiers</w:t>
      </w:r>
    </w:p>
    <w:p>
      <w:pPr>
        <w:pBdr>
          <w:bottom w:val="single" w:color="176CAD" w:sz="6" w:space="1"/>
        </w:pBdr>
        <w:spacing w:after="200"/>
      </w:pPr>
    </w:p>
    <w:p>
      <w:pPr>
        <w:spacing w:after="200" w:before="0" w:line="276" w:lineRule="auto"/>
      </w:pPr>
      <w:r>
        <w:rPr>
          <w:rFonts w:ascii="Arial" w:cs="Arial" w:eastAsia="Arial" w:hAnsi="Arial"/>
          <w:color w:val="475569"/>
          <w:sz w:val="22"/>
          <w:szCs w:val="22"/>
        </w:rPr>
        <w:t xml:space="preserve">Six dimensions, quatre niveaux, une feuille de notation et le déroulé d’un atelier de direction. Extrait de « La Méthode NextStart », la méthode d’adoption de l’IA à l’échelle d’une organisation.</w:t>
      </w:r>
    </w:p>
    <w:p>
      <w:pPr>
        <w:spacing w:after="80" w:before="0" w:line="276" w:lineRule="auto"/>
      </w:pPr>
      <w:r>
        <w:rPr>
          <w:rFonts w:ascii="Arial" w:cs="Arial" w:eastAsia="Arial" w:hAnsi="Arial"/>
          <w:color w:val="475569"/>
          <w:sz w:val="20"/>
          <w:szCs w:val="20"/>
        </w:rPr>
        <w:t xml:space="preserve">Version 2026.1  ·  Septembre 2026</w:t>
      </w:r>
    </w:p>
    <w:p>
      <w:pPr>
        <w:spacing w:after="80" w:before="0" w:line="276" w:lineRule="auto"/>
      </w:pPr>
      <w:r>
        <w:rPr>
          <w:rFonts w:ascii="Arial" w:cs="Arial" w:eastAsia="Arial" w:hAnsi="Arial"/>
          <w:color w:val="475569"/>
          <w:sz w:val="20"/>
          <w:szCs w:val="20"/>
        </w:rPr>
        <w:t xml:space="preserve">NextStart.AI  ·  </w:t>
      </w:r>
      <w:hyperlink w:history="1" r:id="rIdv5enhdirwauqdjbwrbpc2">
        <w:r>
          <w:rPr>
            <w:rFonts w:ascii="Arial" w:cs="Arial" w:eastAsia="Arial" w:hAnsi="Arial"/>
            <w:color w:val="176CAD"/>
            <w:sz w:val="20"/>
            <w:szCs w:val="20"/>
          </w:rPr>
          <w:t xml:space="preserve">www.nextstart.ai</w:t>
        </w:r>
      </w:hyperlink>
    </w:p>
    <w:p>
      <w:pPr>
        <w:spacing w:after="200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CBD5E1" w:sz="4"/>
              <w:left w:val="single" w:color="CBD5E1" w:sz="24"/>
              <w:bottom w:val="single" w:color="CBD5E1" w:sz="4"/>
              <w:right w:val="single" w:color="CBD5E1" w:sz="4"/>
            </w:tcBorders>
            <w:shd w:fill="F8FAFC" w:color="auto" w:val="clear"/>
            <w:tcMar>
              <w:top w:type="dxa" w:w="140"/>
              <w:left w:type="dxa" w:w="200"/>
              <w:bottom w:type="dxa" w:w="140"/>
              <w:right w:type="dxa" w:w="200"/>
            </w:tcMar>
          </w:tcPr>
          <w:p>
            <w:pPr>
              <w:spacing w:after="0" w:before="0" w:line="276" w:lineRule="auto"/>
            </w:pPr>
            <w:r>
              <w:rPr>
                <w:rFonts w:ascii="Arial" w:cs="Arial" w:eastAsia="Arial" w:hAnsi="Arial"/>
                <w:color w:val="475569"/>
                <w:sz w:val="18"/>
                <w:szCs w:val="18"/>
              </w:rPr>
              <w:t xml:space="preserve">Ce document est mis à disposition gratuitement par NextStart.AI. Vous pouvez le reproduire et l’adapter à votre organisation, y compris dans vos supports internes, en conservant la mention de la source. Il constitue un outil d’orientation et ne remplace pas un audit impliquant les métiers, la DSI, les RH, le juridique et la direction.</w:t>
            </w:r>
          </w:p>
        </w:tc>
      </w:tr>
    </w:tbl>
    <w:p>
      <w:r>
        <w:br w:type="page"/>
      </w:r>
    </w:p>
    <w:p>
      <w:pPr>
        <w:pStyle w:val="Heading1"/>
        <w:spacing w:after="200" w:before="0"/>
      </w:pPr>
      <w:r>
        <w:rPr>
          <w:rFonts w:ascii="Arial" w:cs="Arial" w:eastAsia="Arial" w:hAnsi="Arial"/>
        </w:rPr>
        <w:t xml:space="preserve">Sommaire</w:t>
      </w:r>
    </w:p>
    <w:p>
      <w:pPr>
        <w:spacing w:after="120" w:before="0" w:line="276" w:lineRule="auto"/>
      </w:pPr>
      <w:r>
        <w:rPr>
          <w:rFonts w:ascii="Arial" w:cs="Arial" w:eastAsia="Arial" w:hAnsi="Arial"/>
          <w:color w:val="475569"/>
          <w:sz w:val="18"/>
          <w:szCs w:val="18"/>
        </w:rPr>
        <w:t xml:space="preserve">Dans Word, cliquez sur le sommaire puis sur « Mettre à jour la table » pour actualiser les numéros de page.</w:t>
      </w:r>
    </w:p>
    <w:sdt>
      <w:sdtPr>
        <w:alias w:val="Sommaire"/>
      </w:sdtPr>
      <w:sdtContent>
        <w:p>
          <w:r>
            <w:fldChar w:fldCharType="begin" w:dirty="true"/>
            <w:instrText xml:space="preserve">TOC \h \o "1-2"</w:instrText>
            <w:fldChar w:fldCharType="separate"/>
          </w:r>
        </w:p>
        <w:p>
          <w:r>
            <w:fldChar w:fldCharType="end"/>
          </w:r>
        </w:p>
      </w:sdtContent>
    </w:sdt>
    <w:p>
      <w:r>
        <w:br w:type="page"/>
      </w:r>
    </w:p>
    <w:p>
      <w:pPr>
        <w:pStyle w:val="Heading1"/>
        <w:spacing w:after="200" w:before="0"/>
      </w:pPr>
      <w:r>
        <w:rPr>
          <w:rFonts w:ascii="Arial" w:cs="Arial" w:eastAsia="Arial" w:hAnsi="Arial"/>
        </w:rPr>
        <w:t xml:space="preserve">Mode d’emploi</w:t>
      </w:r>
    </w:p>
    <w:p>
      <w:pPr>
        <w:spacing w:after="200" w:before="0" w:line="276" w:lineRule="auto"/>
      </w:pPr>
      <w:r>
        <w:rPr>
          <w:rFonts w:ascii="Arial" w:cs="Arial" w:eastAsia="Arial" w:hAnsi="Arial"/>
          <w:color w:val="475569"/>
          <w:sz w:val="24"/>
          <w:szCs w:val="24"/>
        </w:rPr>
        <w:t xml:space="preserve">Une question simple, que peu d’organisations tranchent avec rigueur : où en sommes-nous vraiment avec l’IA, et par quoi commencer ?</w:t>
      </w:r>
    </w:p>
    <w:p>
      <w:pPr>
        <w:pStyle w:val="Heading2"/>
        <w:spacing w:after="120" w:before="300"/>
      </w:pPr>
      <w:r>
        <w:rPr>
          <w:rFonts w:ascii="Arial" w:cs="Arial" w:eastAsia="Arial" w:hAnsi="Arial"/>
        </w:rPr>
        <w:t xml:space="preserve">À qui il s’adresse</w:t>
      </w:r>
    </w:p>
    <w:p>
      <w:pPr>
        <w:spacing w:after="120" w:before="0" w:line="276" w:lineRule="auto"/>
      </w:pPr>
      <w:r>
        <w:rPr>
          <w:rFonts w:ascii="Arial" w:cs="Arial" w:eastAsia="Arial" w:hAnsi="Arial"/>
        </w:rPr>
        <w:t xml:space="preserve">Au dirigeant, au DRH ou au responsable formation, au responsable de la transformation ou de l’innovation, au référent IA. Plus largement, à toute personne chargée de proposer un plan d’adoption ou de formation IA et qui doit d’abord établir un constat partagé.</w:t>
      </w:r>
    </w:p>
    <w:p>
      <w:pPr>
        <w:pStyle w:val="Heading2"/>
        <w:spacing w:after="120" w:before="300"/>
      </w:pPr>
      <w:r>
        <w:rPr>
          <w:rFonts w:ascii="Arial" w:cs="Arial" w:eastAsia="Arial" w:hAnsi="Arial"/>
        </w:rPr>
        <w:t xml:space="preserve">Ce qu’il contient</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2600"/>
        <w:gridCol w:w="7038"/>
      </w:tblGrid>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1. Pourquoi une grille</w:t>
            </w:r>
          </w:p>
        </w:tc>
        <w:tc>
          <w:tcPr>
            <w:tcW w:type="dxa" w:w="7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Les trois principes de notation, les six dimensions et les quatre niveaux.</w:t>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2. La grille</w:t>
            </w:r>
          </w:p>
        </w:tc>
        <w:tc>
          <w:tcPr>
            <w:tcW w:type="dxa" w:w="7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Une page par dimension : les descripteurs observables de chaque niveau, les preuves à demander et une question de vérification.</w:t>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3. La feuille de notation</w:t>
            </w:r>
          </w:p>
        </w:tc>
        <w:tc>
          <w:tcPr>
            <w:tcW w:type="dxa" w:w="7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 support pour noter chaque dimension, calculer le profil global, repérer la dimension plancher et le point d’appui, dessiner le radar.</w:t>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4. L’atelier de 90 minutes</w:t>
            </w:r>
          </w:p>
        </w:tc>
        <w:tc>
          <w:tcPr>
            <w:tcW w:type="dxa" w:w="7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Les participants, la préparation, le déroulé minuté, les trois règles d’animation et les pièges habituels.</w:t>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5. Lire le profil</w:t>
            </w:r>
          </w:p>
        </w:tc>
        <w:tc>
          <w:tcPr>
            <w:tcW w:type="dxa" w:w="7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Six profils fréquents, le risque que chacun porte, la lecture à en faire et la façon de choisir les deux chantiers.</w:t>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6. Passer au niveau suivant</w:t>
            </w:r>
          </w:p>
        </w:tc>
        <w:tc>
          <w:tcPr>
            <w:tcW w:type="dxa" w:w="7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Pour chaque dimension et chaque transition, le chantier prioritaire et le signal qui montre que le passage est fait.</w:t>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Annexes</w:t>
            </w:r>
          </w:p>
        </w:tc>
        <w:tc>
          <w:tcPr>
            <w:tcW w:type="dxa" w:w="7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Feuille de notation individuelle, modèle de compte rendu, grille de suivi semestriel, correspondance avec le diagnostic en ligne, questions fréquentes, ressources.</w:t>
            </w:r>
          </w:p>
        </w:tc>
      </w:tr>
    </w:tbl>
    <w:p>
      <w:pPr>
        <w:pStyle w:val="Heading2"/>
        <w:spacing w:after="120" w:before="300"/>
      </w:pPr>
      <w:r>
        <w:rPr>
          <w:rFonts w:ascii="Arial" w:cs="Arial" w:eastAsia="Arial" w:hAnsi="Arial"/>
        </w:rPr>
        <w:t xml:space="preserve">Trois façons de l’utiliser</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2600"/>
        <w:gridCol w:w="1500"/>
        <w:gridCol w:w="5538"/>
      </w:tblGrid>
      <w:tr>
        <w:trPr>
          <w:cantSplit/>
          <w:tblHeader/>
        </w:trPr>
        <w:tc>
          <w:tcPr>
            <w:tcW w:type="dxa" w:w="26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Usage</w:t>
            </w:r>
          </w:p>
        </w:tc>
        <w:tc>
          <w:tcPr>
            <w:tcW w:type="dxa" w:w="15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Durée</w:t>
            </w:r>
          </w:p>
        </w:tc>
        <w:tc>
          <w:tcPr>
            <w:tcW w:type="dxa" w:w="55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Pour quoi faire</w:t>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Seul, en lecture rapide</w:t>
            </w:r>
          </w:p>
        </w:tc>
        <w:tc>
          <w:tcPr>
            <w:tcW w:type="dxa" w:w="15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20 minutes</w:t>
            </w:r>
          </w:p>
        </w:tc>
        <w:tc>
          <w:tcPr>
            <w:tcW w:type="dxa" w:w="5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Vous situer avant une réunion, préparer une note à votre direction, vérifier une intuition.</w:t>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En atelier de direction</w:t>
            </w:r>
          </w:p>
        </w:tc>
        <w:tc>
          <w:tcPr>
            <w:tcW w:type="dxa" w:w="15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90 minutes</w:t>
            </w:r>
          </w:p>
        </w:tc>
        <w:tc>
          <w:tcPr>
            <w:tcW w:type="dxa" w:w="5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Établir un constat partagé entre direction, métiers, DSI, RH et juridique, puis décider deux chantiers pour les 90 prochains jours. C’est l’usage recommandé.</w:t>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En suivi semestriel</w:t>
            </w:r>
          </w:p>
        </w:tc>
        <w:tc>
          <w:tcPr>
            <w:tcW w:type="dxa" w:w="15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45 minutes</w:t>
            </w:r>
          </w:p>
        </w:tc>
        <w:tc>
          <w:tcPr>
            <w:tcW w:type="dxa" w:w="5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Refaire la notation tous les six mois, mesurer la progression dimension par dimension et réajuster les priorités.</w:t>
            </w:r>
          </w:p>
        </w:tc>
      </w:tr>
    </w:tbl>
    <w:p>
      <w:pPr>
        <w:spacing w:after="10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6CAD" w:sz="4"/>
              <w:left w:val="single" w:color="176CAD" w:sz="24"/>
              <w:bottom w:val="single" w:color="176CAD" w:sz="4"/>
              <w:right w:val="single" w:color="176CAD" w:sz="4"/>
            </w:tcBorders>
            <w:shd w:fill="EAF2FA"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Conseil</w:t>
            </w:r>
          </w:p>
          <w:p>
            <w:pPr>
              <w:spacing w:after="0" w:before="0" w:line="276" w:lineRule="auto"/>
            </w:pPr>
            <w:r>
              <w:rPr>
                <w:rFonts w:ascii="Arial" w:cs="Arial" w:eastAsia="Arial" w:hAnsi="Arial"/>
                <w:b/>
                <w:bCs/>
              </w:rPr>
              <w:t xml:space="preserve">Avant l’atelier. </w:t>
            </w:r>
            <w:r>
              <w:rPr>
                <w:rFonts w:ascii="Arial" w:cs="Arial" w:eastAsia="Arial" w:hAnsi="Arial"/>
              </w:rPr>
              <w:t xml:space="preserve">Demandez à chaque participant de noter l’organisation seul, avec la feuille de l’annexe A. L’écart entre les notes individuelles est souvent l’information la plus utile de la séance.</w:t>
            </w:r>
          </w:p>
        </w:tc>
      </w:tr>
    </w:tbl>
    <w:p>
      <w:r>
        <w:br w:type="page"/>
      </w:r>
    </w:p>
    <w:p>
      <w:pPr>
        <w:pStyle w:val="Heading1"/>
        <w:spacing w:after="200" w:before="0"/>
      </w:pPr>
      <w:r>
        <w:rPr>
          <w:rFonts w:ascii="Arial" w:cs="Arial" w:eastAsia="Arial" w:hAnsi="Arial"/>
        </w:rPr>
        <w:t xml:space="preserve">1. Pourquoi une grille, et non un score</w:t>
      </w:r>
    </w:p>
    <w:p>
      <w:pPr>
        <w:spacing w:after="200" w:before="0" w:line="276" w:lineRule="auto"/>
      </w:pPr>
      <w:r>
        <w:rPr>
          <w:rFonts w:ascii="Arial" w:cs="Arial" w:eastAsia="Arial" w:hAnsi="Arial"/>
          <w:color w:val="475569"/>
          <w:sz w:val="24"/>
          <w:szCs w:val="24"/>
        </w:rPr>
        <w:t xml:space="preserve">Un score de maturité sur 100 rassure et n’engage à rien. Un profil en six dimensions oblige à regarder où l’organisation est solide, où elle est fragile, et ce qui commande le rythme.</w:t>
      </w:r>
    </w:p>
    <w:p>
      <w:pPr>
        <w:spacing w:after="120" w:before="0" w:line="276" w:lineRule="auto"/>
      </w:pPr>
      <w:r>
        <w:rPr>
          <w:rFonts w:ascii="Arial" w:cs="Arial" w:eastAsia="Arial" w:hAnsi="Arial"/>
        </w:rPr>
        <w:t xml:space="preserve">La plupart des organisations que nous accompagnons n’ont pas un problème de niveau moyen. Elles ont un problème d’équilibre : des usages avancés dans un métier et aucune règle, ou une charte irréprochable que personne n’applique parce que personne n’a été formé. La moyenne masque ces écarts. La grille les fait apparaître.</w:t>
      </w:r>
    </w:p>
    <w:p>
      <w:pPr>
        <w:spacing w:after="120" w:before="0" w:line="276" w:lineRule="auto"/>
      </w:pPr>
      <w:r>
        <w:rPr>
          <w:rFonts w:ascii="Arial" w:cs="Arial" w:eastAsia="Arial" w:hAnsi="Arial"/>
        </w:rPr>
        <w:t xml:space="preserve">Elle repose sur trois principes.</w:t>
      </w:r>
    </w:p>
    <w:p>
      <w:pPr>
        <w:pStyle w:val="Heading3"/>
        <w:spacing w:after="80" w:before="200"/>
      </w:pPr>
      <w:r>
        <w:rPr>
          <w:rFonts w:ascii="Arial" w:cs="Arial" w:eastAsia="Arial" w:hAnsi="Arial"/>
        </w:rPr>
        <w:t xml:space="preserve">Principe 1 : on note ce qui est observable</w:t>
      </w:r>
    </w:p>
    <w:p>
      <w:pPr>
        <w:spacing w:after="120" w:before="0" w:line="276" w:lineRule="auto"/>
      </w:pPr>
      <w:r>
        <w:rPr>
          <w:rFonts w:ascii="Arial" w:cs="Arial" w:eastAsia="Arial" w:hAnsi="Arial"/>
        </w:rPr>
        <w:t xml:space="preserve">Chaque case de la grille décrit des faits que l’on peut constater : une part de collaborateurs qui utilisent l’IA chaque semaine, une charte diffusée ou non, un agent en pilote ou non. On ne note ni les intentions, ni les projets en cours, ni la qualité des discours. Une organisation qui « va lancer » un programme est au niveau de ce qu’elle a déjà fait.</w:t>
      </w:r>
    </w:p>
    <w:p>
      <w:pPr>
        <w:pStyle w:val="Heading3"/>
        <w:spacing w:after="80" w:before="200"/>
      </w:pPr>
      <w:r>
        <w:rPr>
          <w:rFonts w:ascii="Arial" w:cs="Arial" w:eastAsia="Arial" w:hAnsi="Arial"/>
        </w:rPr>
        <w:t xml:space="preserve">Principe 2 : le niveau atteint est celui dont tous les descripteurs sont vrais</w:t>
      </w:r>
    </w:p>
    <w:p>
      <w:pPr>
        <w:spacing w:after="120" w:before="0" w:line="276" w:lineRule="auto"/>
      </w:pPr>
      <w:r>
        <w:rPr>
          <w:rFonts w:ascii="Arial" w:cs="Arial" w:eastAsia="Arial" w:hAnsi="Arial"/>
        </w:rPr>
        <w:t xml:space="preserve">Pour se déclarer au niveau 3 sur une dimension, il faut que l’ensemble des descripteurs du niveau 3 soient vérifiés, et pas seulement le plus flatteur. Si un seul manque, l’organisation est au niveau 2 sur cette dimension, avec un point d’appui déjà acquis pour la suite. Cette règle est exigeante ; c’est ce qui rend le constat crédible.</w:t>
      </w:r>
    </w:p>
    <w:p>
      <w:pPr>
        <w:pStyle w:val="Heading3"/>
        <w:spacing w:after="80" w:before="200"/>
      </w:pPr>
      <w:r>
        <w:rPr>
          <w:rFonts w:ascii="Arial" w:cs="Arial" w:eastAsia="Arial" w:hAnsi="Arial"/>
        </w:rPr>
        <w:t xml:space="preserve">Principe 3 : la dimension la plus faible commande</w:t>
      </w:r>
    </w:p>
    <w:p>
      <w:pPr>
        <w:spacing w:after="120" w:before="0" w:line="276" w:lineRule="auto"/>
      </w:pPr>
      <w:r>
        <w:rPr>
          <w:rFonts w:ascii="Arial" w:cs="Arial" w:eastAsia="Arial" w:hAnsi="Arial"/>
        </w:rPr>
        <w:t xml:space="preserve">Une organisation avance au rythme de sa dimension plancher. Des usages de niveau 4 avec une gouvernance de niveau 1 ne sont pas une organisation de niveau 4 : c’est une organisation exposée. Le premier chantier à décider est presque toujours celui qui relève le plancher.</w:t>
      </w:r>
    </w:p>
    <w:p>
      <w:pPr>
        <w:pStyle w:val="Heading2"/>
        <w:spacing w:after="120" w:before="300"/>
      </w:pPr>
      <w:r>
        <w:rPr>
          <w:rFonts w:ascii="Arial" w:cs="Arial" w:eastAsia="Arial" w:hAnsi="Arial"/>
        </w:rPr>
        <w:t xml:space="preserve">Les six dimensions</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2500"/>
        <w:gridCol w:w="4300"/>
        <w:gridCol w:w="2838"/>
      </w:tblGrid>
      <w:tr>
        <w:trPr>
          <w:cantSplit/>
          <w:tblHeader/>
        </w:trPr>
        <w:tc>
          <w:tcPr>
            <w:tcW w:type="dxa" w:w="25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Dimension</w:t>
            </w:r>
          </w:p>
        </w:tc>
        <w:tc>
          <w:tcPr>
            <w:tcW w:type="dxa" w:w="43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Ce qu’elle mesure</w:t>
            </w:r>
          </w:p>
        </w:tc>
        <w:tc>
          <w:tcPr>
            <w:tcW w:type="dxa" w:w="28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Question directrice</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A. Adoption et compétences</w:t>
            </w:r>
          </w:p>
        </w:tc>
        <w:tc>
          <w:tcPr>
            <w:tcW w:type="dxa" w:w="4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La part de collaborateurs qui utilisent l’IA, la façon dont ils sont formés, l’animation dans la durée, la position des managers.</w:t>
            </w:r>
          </w:p>
        </w:tc>
        <w:tc>
          <w:tcPr>
            <w:tcW w:type="dxa" w:w="2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Combien de personnes pratiquent, et qui les fait progresser ?</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B. Usages métiers et impact</w:t>
            </w:r>
          </w:p>
        </w:tc>
        <w:tc>
          <w:tcPr>
            <w:tcW w:type="dxa" w:w="4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L’adaptation des usages aux réalités de chaque métier, la priorisation des cas, la mesure de l’impact, le nombre de cas en routine.</w:t>
            </w:r>
          </w:p>
        </w:tc>
        <w:tc>
          <w:tcPr>
            <w:tcW w:type="dxa" w:w="2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L’IA produit-elle de la valeur identifiable, métier par métier ?</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C. Agents et processus</w:t>
            </w:r>
          </w:p>
        </w:tc>
        <w:tc>
          <w:tcPr>
            <w:tcW w:type="dxa" w:w="4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La maturité sur les assistants et agents, la cartographie du travail délégable, la refonte des processus de bout en bout.</w:t>
            </w:r>
          </w:p>
        </w:tc>
        <w:tc>
          <w:tcPr>
            <w:tcW w:type="dxa" w:w="2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Déléguons-nous du travail complet, et à quelles conditions ?</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D. Données et outils</w:t>
            </w:r>
          </w:p>
        </w:tc>
        <w:tc>
          <w:tcPr>
            <w:tcW w:type="dxa" w:w="4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La sécurité et l’adéquation des outils fournis, la préparation des données et connaissances, la capacité d’intégration au système d’information.</w:t>
            </w:r>
          </w:p>
        </w:tc>
        <w:tc>
          <w:tcPr>
            <w:tcW w:type="dxa" w:w="2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Nos fondations techniques permettent-elles de passer à l’échelle ?</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E. Gouvernance et risques</w:t>
            </w:r>
          </w:p>
        </w:tc>
        <w:tc>
          <w:tcPr>
            <w:tcW w:type="dxa" w:w="4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La charte d’usage, la conformité et la sécurité, la supervision des résultats, le cadre applicable aux agents autonomes, la visibilité sur les usages non encadrés.</w:t>
            </w:r>
          </w:p>
        </w:tc>
        <w:tc>
          <w:tcPr>
            <w:tcW w:type="dxa" w:w="2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Savons-nous ce qui est permis, vérifié et tracé ?</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F. Stratégie et pilotage</w:t>
            </w:r>
          </w:p>
        </w:tc>
        <w:tc>
          <w:tcPr>
            <w:tcW w:type="dxa" w:w="4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La place de l’IA au niveau de la direction, la gouvernance du programme et les responsabilités, l’évolution du modèle opérationnel.</w:t>
            </w:r>
          </w:p>
        </w:tc>
        <w:tc>
          <w:tcPr>
            <w:tcW w:type="dxa" w:w="2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La direction porte-t-elle une trajectoire, et la pilote-t-elle ?</w:t>
            </w:r>
          </w:p>
        </w:tc>
      </w:tr>
    </w:tbl>
    <w:p>
      <w:pPr>
        <w:spacing w:after="160"/>
      </w:pPr>
    </w:p>
    <w:p>
      <w:pPr>
        <w:pStyle w:val="Heading2"/>
        <w:spacing w:after="120" w:before="300"/>
      </w:pPr>
      <w:r>
        <w:rPr>
          <w:rFonts w:ascii="Arial" w:cs="Arial" w:eastAsia="Arial" w:hAnsi="Arial"/>
        </w:rPr>
        <w:t xml:space="preserve">Les quatre niveaux</w:t>
      </w:r>
    </w:p>
    <w:p>
      <w:pPr>
        <w:spacing w:after="120" w:before="0" w:line="276" w:lineRule="auto"/>
      </w:pPr>
      <w:r>
        <w:rPr>
          <w:rFonts w:ascii="Arial" w:cs="Arial" w:eastAsia="Arial" w:hAnsi="Arial"/>
        </w:rPr>
        <w:t xml:space="preserve">Les mêmes quatre niveaux servent pour chaque dimension et pour le profil global. Leurs noms sont ceux du diagnostic en ligne NextStart.AI, ce qui permet de comparer les deux lectures.</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900"/>
        <w:gridCol w:w="1900"/>
        <w:gridCol w:w="4538"/>
        <w:gridCol w:w="2300"/>
      </w:tblGrid>
      <w:tr>
        <w:trPr>
          <w:cantSplit/>
          <w:tblHeader/>
        </w:trPr>
        <w:tc>
          <w:tcPr>
            <w:tcW w:type="dxa" w:w="9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Niveau</w:t>
            </w:r>
          </w:p>
        </w:tc>
        <w:tc>
          <w:tcPr>
            <w:tcW w:type="dxa" w:w="19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Nom</w:t>
            </w:r>
          </w:p>
        </w:tc>
        <w:tc>
          <w:tcPr>
            <w:tcW w:type="dxa" w:w="45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En une phrase</w:t>
            </w:r>
          </w:p>
        </w:tc>
        <w:tc>
          <w:tcPr>
            <w:tcW w:type="dxa" w:w="23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Temps de la trajectoire</w:t>
            </w:r>
          </w:p>
        </w:tc>
      </w:tr>
      <w:tr>
        <w:trPr>
          <w:cantSplit/>
        </w:trPr>
        <w:tc>
          <w:tcPr>
            <w:tcW w:type="dxa" w:w="9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1</w:t>
            </w:r>
          </w:p>
        </w:tc>
        <w:tc>
          <w:tcPr>
            <w:tcW w:type="dxa" w:w="19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Explorateur</w:t>
            </w:r>
          </w:p>
        </w:tc>
        <w:tc>
          <w:tcPr>
            <w:tcW w:type="dxa" w:w="4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 potentiel est ouvert, les usages sont isolés, rien n’est encore organisé.</w:t>
            </w:r>
          </w:p>
        </w:tc>
        <w:tc>
          <w:tcPr>
            <w:tcW w:type="dxa" w:w="2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Embarquer</w:t>
            </w:r>
          </w:p>
        </w:tc>
      </w:tr>
      <w:tr>
        <w:trPr>
          <w:cantSplit/>
        </w:trPr>
        <w:tc>
          <w:tcPr>
            <w:tcW w:type="dxa" w:w="9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2</w:t>
            </w:r>
          </w:p>
        </w:tc>
        <w:tc>
          <w:tcPr>
            <w:tcW w:type="dxa" w:w="19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Pionnier</w:t>
            </w:r>
          </w:p>
        </w:tc>
        <w:tc>
          <w:tcPr>
            <w:tcW w:type="dxa" w:w="4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Des initiatives existent, portées par des volontaires ; elles ne sont pas encore reliées.</w:t>
            </w:r>
          </w:p>
        </w:tc>
        <w:tc>
          <w:tcPr>
            <w:tcW w:type="dxa" w:w="2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Maîtriser</w:t>
            </w:r>
          </w:p>
        </w:tc>
      </w:tr>
      <w:tr>
        <w:trPr>
          <w:cantSplit/>
        </w:trPr>
        <w:tc>
          <w:tcPr>
            <w:tcW w:type="dxa" w:w="9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3</w:t>
            </w:r>
          </w:p>
        </w:tc>
        <w:tc>
          <w:tcPr>
            <w:tcW w:type="dxa" w:w="19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Accélérateur</w:t>
            </w:r>
          </w:p>
        </w:tc>
        <w:tc>
          <w:tcPr>
            <w:tcW w:type="dxa" w:w="4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Une dynamique réelle est lancée, structurée sur une partie du périmètre ; il faut industrialiser.</w:t>
            </w:r>
          </w:p>
        </w:tc>
        <w:tc>
          <w:tcPr>
            <w:tcW w:type="dxa" w:w="2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Déléguer</w:t>
            </w:r>
          </w:p>
        </w:tc>
      </w:tr>
      <w:tr>
        <w:trPr>
          <w:cantSplit/>
        </w:trPr>
        <w:tc>
          <w:tcPr>
            <w:tcW w:type="dxa" w:w="9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4</w:t>
            </w:r>
          </w:p>
        </w:tc>
        <w:tc>
          <w:tcPr>
            <w:tcW w:type="dxa" w:w="19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Transformateur</w:t>
            </w:r>
          </w:p>
        </w:tc>
        <w:tc>
          <w:tcPr>
            <w:tcW w:type="dxa" w:w="4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Les bases sont solides et pilotées ; l’enjeu devient la réinvention des processus, des offres et du modèle.</w:t>
            </w:r>
          </w:p>
        </w:tc>
        <w:tc>
          <w:tcPr>
            <w:tcW w:type="dxa" w:w="2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Transformer</w:t>
            </w:r>
          </w:p>
        </w:tc>
      </w:tr>
    </w:tbl>
    <w:p>
      <w:pPr>
        <w:spacing w:after="120"/>
      </w:pPr>
    </w:p>
    <w:p>
      <w:pPr>
        <w:spacing w:after="120" w:before="0" w:line="276" w:lineRule="auto"/>
      </w:pPr>
      <w:r>
        <w:rPr>
          <w:rFonts w:ascii="Arial" w:cs="Arial" w:eastAsia="Arial" w:hAnsi="Arial"/>
          <w:color w:val="475569"/>
          <w:sz w:val="18"/>
          <w:szCs w:val="18"/>
        </w:rPr>
        <w:t xml:space="preserve">La dernière colonne renvoie aux quatre temps de la trajectoire décrite dans La Méthode NextStart : Embarquer, Maîtriser, Déléguer, Transformer. Chaque niveau de maturité correspond au temps que l’organisation est en train de vivre.</w:t>
      </w:r>
    </w:p>
    <w:p>
      <w:pPr>
        <w:pStyle w:val="Heading1"/>
        <w:spacing w:after="200" w:before="0"/>
      </w:pPr>
      <w:r>
        <w:rPr>
          <w:rFonts w:ascii="Arial" w:cs="Arial" w:eastAsia="Arial" w:hAnsi="Arial"/>
        </w:rPr>
        <w:t xml:space="preserve">2. La grille</w:t>
      </w:r>
    </w:p>
    <w:p>
      <w:pPr>
        <w:spacing w:after="200" w:before="0" w:line="276" w:lineRule="auto"/>
      </w:pPr>
      <w:r>
        <w:rPr>
          <w:rFonts w:ascii="Arial" w:cs="Arial" w:eastAsia="Arial" w:hAnsi="Arial"/>
          <w:color w:val="475569"/>
          <w:sz w:val="24"/>
          <w:szCs w:val="24"/>
        </w:rPr>
        <w:t xml:space="preserve">Une page par dimension. Pour chaque niveau, la liste des descripteurs qui doivent tous être vrais. Notez au crayon, en marge, ceux qui le sont : le niveau atteint est le dernier dont la liste est complète.</w:t>
      </w:r>
    </w:p>
    <w:p>
      <w:pPr>
        <w:spacing w:after="120" w:before="0" w:line="276" w:lineRule="auto"/>
      </w:pPr>
      <w:r>
        <w:rPr>
          <w:rFonts w:ascii="Arial" w:cs="Arial" w:eastAsia="Arial" w:hAnsi="Arial"/>
        </w:rPr>
        <w:t xml:space="preserve">Les descripteurs reprennent, critère par critère, les quatre paliers du diagnostic en ligne NextStart.AI (22 questions, 6 piliers). Ils ont été rédigés pour être vérifiables en réunion, avec des preuves plutôt que des impressions.</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6CAD" w:sz="4"/>
              <w:left w:val="single" w:color="176CAD" w:sz="24"/>
              <w:bottom w:val="single" w:color="176CAD" w:sz="4"/>
              <w:right w:val="single" w:color="176CAD" w:sz="4"/>
            </w:tcBorders>
            <w:shd w:fill="EAF2FA" w:color="auto" w:val="clear"/>
            <w:tcMar>
              <w:top w:type="dxa" w:w="140"/>
              <w:left w:type="dxa" w:w="200"/>
              <w:bottom w:type="dxa" w:w="140"/>
              <w:right w:type="dxa" w:w="200"/>
            </w:tcMar>
          </w:tcPr>
          <w:p>
            <w:pPr>
              <w:spacing w:after="0" w:before="0" w:line="276" w:lineRule="auto"/>
            </w:pPr>
            <w:r>
              <w:rPr>
                <w:rFonts w:ascii="Arial" w:cs="Arial" w:eastAsia="Arial" w:hAnsi="Arial"/>
                <w:b/>
                <w:bCs/>
              </w:rPr>
              <w:t xml:space="preserve">Comment lire une case. </w:t>
            </w:r>
            <w:r>
              <w:rPr>
                <w:rFonts w:ascii="Arial" w:cs="Arial" w:eastAsia="Arial" w:hAnsi="Arial"/>
              </w:rPr>
              <w:t xml:space="preserve">Chaque niveau cumule les acquis des niveaux précédents. Le descripteur d’un niveau décrit le seuil à franchir, pas l’intégralité de ce qui existe. Quand un descripteur est vrai « sur une partie du périmètre » seulement, c’est le niveau qui le dit ainsi qui s’applique, pas le niveau supérieur.</w:t>
            </w:r>
          </w:p>
        </w:tc>
      </w:tr>
    </w:tbl>
    <w:p>
      <w:r>
        <w:br w:type="page"/>
      </w:r>
    </w:p>
    <w:p>
      <w:pPr>
        <w:pStyle w:val="Heading2"/>
        <w:spacing w:after="120" w:before="300"/>
      </w:pPr>
      <w:r>
        <w:rPr>
          <w:rFonts w:ascii="Arial" w:cs="Arial" w:eastAsia="Arial" w:hAnsi="Arial"/>
        </w:rPr>
        <w:t xml:space="preserve">A. Adoption et compétences</w:t>
      </w:r>
    </w:p>
    <w:p>
      <w:pPr>
        <w:spacing w:after="120" w:before="0" w:line="276" w:lineRule="auto"/>
      </w:pPr>
      <w:r>
        <w:rPr>
          <w:rFonts w:ascii="Arial" w:cs="Arial" w:eastAsia="Arial" w:hAnsi="Arial"/>
          <w:b/>
          <w:bCs/>
        </w:rPr>
        <w:t xml:space="preserve">Ce que la dimension mesure. </w:t>
      </w:r>
      <w:r>
        <w:rPr>
          <w:rFonts w:ascii="Arial" w:cs="Arial" w:eastAsia="Arial" w:hAnsi="Arial"/>
        </w:rPr>
        <w:t xml:space="preserve">la part réelle de collaborateurs qui utilisent une IA générative dans leur travail, la manière dont l’organisation développe leurs compétences, l’animation de l’adoption dans la durée et la position du management intermédiaire.</w:t>
      </w:r>
    </w:p>
    <w:p>
      <w:pPr>
        <w:spacing w:after="160" w:before="0" w:line="276" w:lineRule="auto"/>
      </w:pPr>
      <w:r>
        <w:rPr>
          <w:rFonts w:ascii="Arial" w:cs="Arial" w:eastAsia="Arial" w:hAnsi="Arial"/>
          <w:b/>
          <w:bCs/>
        </w:rPr>
        <w:t xml:space="preserve">Critères observés : </w:t>
      </w:r>
      <w:r>
        <w:rPr>
          <w:rFonts w:ascii="Arial" w:cs="Arial" w:eastAsia="Arial" w:hAnsi="Arial"/>
        </w:rPr>
        <w:t xml:space="preserve">taux d’usage hebdomadaire, dispositif de formation, animation dans la durée, rôle des managers.</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1700"/>
        <w:gridCol w:w="7938"/>
      </w:tblGrid>
      <w:tr>
        <w:trPr>
          <w:cantSplit/>
        </w:trPr>
        <w:tc>
          <w:tcPr>
            <w:tcW w:type="dxa" w:w="1700"/>
            <w:shd w:fill="FDECEC"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2318"/>
                <w:sz w:val="18"/>
                <w:szCs w:val="18"/>
              </w:rPr>
              <w:t xml:space="preserve">Niveau 1</w:t>
            </w:r>
          </w:p>
          <w:p>
            <w:pPr>
              <w:spacing w:after="0" w:before="0" w:line="276" w:lineRule="auto"/>
            </w:pPr>
            <w:r>
              <w:rPr>
                <w:rFonts w:ascii="Arial" w:cs="Arial" w:eastAsia="Arial" w:hAnsi="Arial"/>
                <w:b/>
                <w:bCs/>
                <w:color w:val="0F172A"/>
                <w:sz w:val="20"/>
                <w:szCs w:val="20"/>
              </w:rPr>
              <w:t xml:space="preserve">Explorateur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Moins de 10 % des collaborateurs utilisent une IA générative au moins une fois par semaine ; les usages sont isolés.</w:t>
            </w:r>
          </w:p>
          <w:p>
            <w:pPr>
              <w:pStyle w:val="ListParagraph"/>
              <w:numPr>
                <w:ilvl w:val="0"/>
                <w:numId w:val="2"/>
              </w:numPr>
              <w:spacing w:after="40" w:line="260"/>
            </w:pPr>
            <w:r>
              <w:rPr>
                <w:rFonts w:ascii="Arial" w:cs="Arial" w:eastAsia="Arial" w:hAnsi="Arial"/>
                <w:sz w:val="18"/>
                <w:szCs w:val="18"/>
              </w:rPr>
              <w:t xml:space="preserve">Aucune formation n’est organisée.</w:t>
            </w:r>
          </w:p>
          <w:p>
            <w:pPr>
              <w:pStyle w:val="ListParagraph"/>
              <w:numPr>
                <w:ilvl w:val="0"/>
                <w:numId w:val="2"/>
              </w:numPr>
              <w:spacing w:after="40" w:line="260"/>
            </w:pPr>
            <w:r>
              <w:rPr>
                <w:rFonts w:ascii="Arial" w:cs="Arial" w:eastAsia="Arial" w:hAnsi="Arial"/>
                <w:sz w:val="18"/>
                <w:szCs w:val="18"/>
              </w:rPr>
              <w:t xml:space="preserve">Aucun dispositif d’animation n’existe.</w:t>
            </w:r>
          </w:p>
          <w:p>
            <w:pPr>
              <w:pStyle w:val="ListParagraph"/>
              <w:numPr>
                <w:ilvl w:val="0"/>
                <w:numId w:val="2"/>
              </w:numPr>
              <w:spacing w:after="40" w:line="260"/>
            </w:pPr>
            <w:r>
              <w:rPr>
                <w:rFonts w:ascii="Arial" w:cs="Arial" w:eastAsia="Arial" w:hAnsi="Arial"/>
                <w:sz w:val="18"/>
                <w:szCs w:val="18"/>
              </w:rPr>
              <w:t xml:space="preserve">Le management intermédiaire est en retrait, voire en résistance.</w:t>
            </w:r>
          </w:p>
        </w:tc>
      </w:tr>
      <w:tr>
        <w:trPr>
          <w:cantSplit/>
        </w:trPr>
        <w:tc>
          <w:tcPr>
            <w:tcW w:type="dxa" w:w="1700"/>
            <w:shd w:fill="FEF3E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5309"/>
                <w:sz w:val="18"/>
                <w:szCs w:val="18"/>
              </w:rPr>
              <w:t xml:space="preserve">Niveau 2</w:t>
            </w:r>
          </w:p>
          <w:p>
            <w:pPr>
              <w:spacing w:after="0" w:before="0" w:line="276" w:lineRule="auto"/>
            </w:pPr>
            <w:r>
              <w:rPr>
                <w:rFonts w:ascii="Arial" w:cs="Arial" w:eastAsia="Arial" w:hAnsi="Arial"/>
                <w:b/>
                <w:bCs/>
                <w:color w:val="0F172A"/>
                <w:sz w:val="20"/>
                <w:szCs w:val="20"/>
              </w:rPr>
              <w:t xml:space="preserve">Pionnier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Entre 10 et 30 % des collaborateurs utilisent une IA générative chaque semaine, surtout des pionniers spontanés.</w:t>
            </w:r>
          </w:p>
          <w:p>
            <w:pPr>
              <w:pStyle w:val="ListParagraph"/>
              <w:numPr>
                <w:ilvl w:val="0"/>
                <w:numId w:val="2"/>
              </w:numPr>
              <w:spacing w:after="40" w:line="260"/>
            </w:pPr>
            <w:r>
              <w:rPr>
                <w:rFonts w:ascii="Arial" w:cs="Arial" w:eastAsia="Arial" w:hAnsi="Arial"/>
                <w:sz w:val="18"/>
                <w:szCs w:val="18"/>
              </w:rPr>
              <w:t xml:space="preserve">Des sensibilisations ponctuelles ont lieu, sans parcours.</w:t>
            </w:r>
          </w:p>
          <w:p>
            <w:pPr>
              <w:pStyle w:val="ListParagraph"/>
              <w:numPr>
                <w:ilvl w:val="0"/>
                <w:numId w:val="2"/>
              </w:numPr>
              <w:spacing w:after="40" w:line="260"/>
            </w:pPr>
            <w:r>
              <w:rPr>
                <w:rFonts w:ascii="Arial" w:cs="Arial" w:eastAsia="Arial" w:hAnsi="Arial"/>
                <w:sz w:val="18"/>
                <w:szCs w:val="18"/>
              </w:rPr>
              <w:t xml:space="preserve">Quelques volontaires s’entraident de façon informelle.</w:t>
            </w:r>
          </w:p>
          <w:p>
            <w:pPr>
              <w:pStyle w:val="ListParagraph"/>
              <w:numPr>
                <w:ilvl w:val="0"/>
                <w:numId w:val="2"/>
              </w:numPr>
              <w:spacing w:after="40" w:line="260"/>
            </w:pPr>
            <w:r>
              <w:rPr>
                <w:rFonts w:ascii="Arial" w:cs="Arial" w:eastAsia="Arial" w:hAnsi="Arial"/>
                <w:sz w:val="18"/>
                <w:szCs w:val="18"/>
              </w:rPr>
              <w:t xml:space="preserve">Les managers sont neutres : ils laissent faire sans s’impliquer.</w:t>
            </w:r>
          </w:p>
        </w:tc>
      </w:tr>
      <w:tr>
        <w:trPr>
          <w:cantSplit/>
        </w:trPr>
        <w:tc>
          <w:tcPr>
            <w:tcW w:type="dxa" w:w="1700"/>
            <w:shd w:fill="E6F4F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8A80"/>
                <w:sz w:val="18"/>
                <w:szCs w:val="18"/>
              </w:rPr>
              <w:t xml:space="preserve">Niveau 3</w:t>
            </w:r>
          </w:p>
          <w:p>
            <w:pPr>
              <w:spacing w:after="0" w:before="0" w:line="276" w:lineRule="auto"/>
            </w:pPr>
            <w:r>
              <w:rPr>
                <w:rFonts w:ascii="Arial" w:cs="Arial" w:eastAsia="Arial" w:hAnsi="Arial"/>
                <w:b/>
                <w:bCs/>
                <w:color w:val="0F172A"/>
                <w:sz w:val="20"/>
                <w:szCs w:val="20"/>
              </w:rPr>
              <w:t xml:space="preserve">Accélérateur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Entre 30 et 60 % des collaborateurs utilisent une IA générative chaque semaine ; une dynamique est lancée.</w:t>
            </w:r>
          </w:p>
          <w:p>
            <w:pPr>
              <w:pStyle w:val="ListParagraph"/>
              <w:numPr>
                <w:ilvl w:val="0"/>
                <w:numId w:val="2"/>
              </w:numPr>
              <w:spacing w:after="40" w:line="260"/>
            </w:pPr>
            <w:r>
              <w:rPr>
                <w:rFonts w:ascii="Arial" w:cs="Arial" w:eastAsia="Arial" w:hAnsi="Arial"/>
                <w:sz w:val="18"/>
                <w:szCs w:val="18"/>
              </w:rPr>
              <w:t xml:space="preserve">Des parcours structurés existent, avec mise en pratique.</w:t>
            </w:r>
          </w:p>
          <w:p>
            <w:pPr>
              <w:pStyle w:val="ListParagraph"/>
              <w:numPr>
                <w:ilvl w:val="0"/>
                <w:numId w:val="2"/>
              </w:numPr>
              <w:spacing w:after="40" w:line="260"/>
            </w:pPr>
            <w:r>
              <w:rPr>
                <w:rFonts w:ascii="Arial" w:cs="Arial" w:eastAsia="Arial" w:hAnsi="Arial"/>
                <w:sz w:val="18"/>
                <w:szCs w:val="18"/>
              </w:rPr>
              <w:t xml:space="preserve">Un réseau de relais est identifié, mais il reste peu outillé.</w:t>
            </w:r>
          </w:p>
          <w:p>
            <w:pPr>
              <w:pStyle w:val="ListParagraph"/>
              <w:numPr>
                <w:ilvl w:val="0"/>
                <w:numId w:val="2"/>
              </w:numPr>
              <w:spacing w:after="40" w:line="260"/>
            </w:pPr>
            <w:r>
              <w:rPr>
                <w:rFonts w:ascii="Arial" w:cs="Arial" w:eastAsia="Arial" w:hAnsi="Arial"/>
                <w:sz w:val="18"/>
                <w:szCs w:val="18"/>
              </w:rPr>
              <w:t xml:space="preserve">Les managers sont impliqués sur certaines équipes, de façon inégale.</w:t>
            </w:r>
          </w:p>
        </w:tc>
      </w:tr>
      <w:tr>
        <w:trPr>
          <w:cantSplit/>
        </w:trPr>
        <w:tc>
          <w:tcPr>
            <w:tcW w:type="dxa" w:w="1700"/>
            <w:shd w:fill="E3EEF9"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6CAD"/>
                <w:sz w:val="18"/>
                <w:szCs w:val="18"/>
              </w:rPr>
              <w:t xml:space="preserve">Niveau 4</w:t>
            </w:r>
          </w:p>
          <w:p>
            <w:pPr>
              <w:spacing w:after="0" w:before="0" w:line="276" w:lineRule="auto"/>
            </w:pPr>
            <w:r>
              <w:rPr>
                <w:rFonts w:ascii="Arial" w:cs="Arial" w:eastAsia="Arial" w:hAnsi="Arial"/>
                <w:b/>
                <w:bCs/>
                <w:color w:val="0F172A"/>
                <w:sz w:val="20"/>
                <w:szCs w:val="20"/>
              </w:rPr>
              <w:t xml:space="preserve">Transformateur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Plus de 60 % des collaborateurs utilisent une IA générative chaque semaine ; l’usage est ancré dans le quotidien.</w:t>
            </w:r>
          </w:p>
          <w:p>
            <w:pPr>
              <w:pStyle w:val="ListParagraph"/>
              <w:numPr>
                <w:ilvl w:val="0"/>
                <w:numId w:val="2"/>
              </w:numPr>
              <w:spacing w:after="40" w:line="260"/>
            </w:pPr>
            <w:r>
              <w:rPr>
                <w:rFonts w:ascii="Arial" w:cs="Arial" w:eastAsia="Arial" w:hAnsi="Arial"/>
                <w:sz w:val="18"/>
                <w:szCs w:val="18"/>
              </w:rPr>
              <w:t xml:space="preserve">Les parcours sont déclinés par niveau et par métier, avec une mesure de la progression.</w:t>
            </w:r>
          </w:p>
          <w:p>
            <w:pPr>
              <w:pStyle w:val="ListParagraph"/>
              <w:numPr>
                <w:ilvl w:val="0"/>
                <w:numId w:val="2"/>
              </w:numPr>
              <w:spacing w:after="40" w:line="260"/>
            </w:pPr>
            <w:r>
              <w:rPr>
                <w:rFonts w:ascii="Arial" w:cs="Arial" w:eastAsia="Arial" w:hAnsi="Arial"/>
                <w:sz w:val="18"/>
                <w:szCs w:val="18"/>
              </w:rPr>
              <w:t xml:space="preserve">Des ambassadeurs formés, outillés et animés portent l’adoption, avec des indicateurs.</w:t>
            </w:r>
          </w:p>
          <w:p>
            <w:pPr>
              <w:pStyle w:val="ListParagraph"/>
              <w:numPr>
                <w:ilvl w:val="0"/>
                <w:numId w:val="2"/>
              </w:numPr>
              <w:spacing w:after="40" w:line="260"/>
            </w:pPr>
            <w:r>
              <w:rPr>
                <w:rFonts w:ascii="Arial" w:cs="Arial" w:eastAsia="Arial" w:hAnsi="Arial"/>
                <w:sz w:val="18"/>
                <w:szCs w:val="18"/>
              </w:rPr>
              <w:t xml:space="preserve">Les managers fixent des attentes et suivent les usages de leur équipe.</w:t>
            </w:r>
          </w:p>
        </w:tc>
      </w:tr>
    </w:tbl>
    <w:p>
      <w:pPr>
        <w:spacing w:after="16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64748B" w:sz="4"/>
              <w:left w:val="single" w:color="64748B" w:sz="24"/>
              <w:bottom w:val="single" w:color="64748B" w:sz="4"/>
              <w:right w:val="single" w:color="64748B" w:sz="4"/>
            </w:tcBorders>
            <w:shd w:fill="F8FAFC"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Preuves à demander avant de noter</w:t>
            </w:r>
          </w:p>
          <w:p>
            <w:pPr>
              <w:pStyle w:val="ListParagraph"/>
              <w:numPr>
                <w:ilvl w:val="0"/>
                <w:numId w:val="2"/>
              </w:numPr>
              <w:spacing w:after="40" w:line="260"/>
            </w:pPr>
            <w:r>
              <w:rPr>
                <w:rFonts w:ascii="Arial" w:cs="Arial" w:eastAsia="Arial" w:hAnsi="Arial"/>
                <w:sz w:val="18"/>
                <w:szCs w:val="18"/>
              </w:rPr>
              <w:t xml:space="preserve">Le taux d’usage hebdomadaire mesuré (licences actives, journaux d’usage ou sondage récent), et non estimé.</w:t>
            </w:r>
          </w:p>
          <w:p>
            <w:pPr>
              <w:pStyle w:val="ListParagraph"/>
              <w:numPr>
                <w:ilvl w:val="0"/>
                <w:numId w:val="2"/>
              </w:numPr>
              <w:spacing w:after="40" w:line="260"/>
            </w:pPr>
            <w:r>
              <w:rPr>
                <w:rFonts w:ascii="Arial" w:cs="Arial" w:eastAsia="Arial" w:hAnsi="Arial"/>
                <w:sz w:val="18"/>
                <w:szCs w:val="18"/>
              </w:rPr>
              <w:t xml:space="preserve">Le catalogue ou le plan de formation IA, avec les populations couvertes et le nombre de personnes formées.</w:t>
            </w:r>
          </w:p>
          <w:p>
            <w:pPr>
              <w:pStyle w:val="ListParagraph"/>
              <w:numPr>
                <w:ilvl w:val="0"/>
                <w:numId w:val="2"/>
              </w:numPr>
              <w:spacing w:after="40" w:line="260"/>
            </w:pPr>
            <w:r>
              <w:rPr>
                <w:rFonts w:ascii="Arial" w:cs="Arial" w:eastAsia="Arial" w:hAnsi="Arial"/>
                <w:sz w:val="18"/>
                <w:szCs w:val="18"/>
              </w:rPr>
              <w:t xml:space="preserve">La liste nominative des relais ou ambassadeurs, leur charge dédiée et leur dernier temps d’animation.</w:t>
            </w:r>
          </w:p>
          <w:p>
            <w:pPr>
              <w:pStyle w:val="ListParagraph"/>
              <w:numPr>
                <w:ilvl w:val="0"/>
                <w:numId w:val="2"/>
              </w:numPr>
              <w:spacing w:after="40" w:line="260"/>
            </w:pPr>
            <w:r>
              <w:rPr>
                <w:rFonts w:ascii="Arial" w:cs="Arial" w:eastAsia="Arial" w:hAnsi="Arial"/>
                <w:sz w:val="18"/>
                <w:szCs w:val="18"/>
              </w:rPr>
              <w:t xml:space="preserve">Un exemple d’objectif d’usage IA fixé par un manager à son équipe.</w:t>
            </w: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6CAD" w:sz="4"/>
              <w:left w:val="single" w:color="176CAD" w:sz="24"/>
              <w:bottom w:val="single" w:color="176CAD" w:sz="4"/>
              <w:right w:val="single" w:color="176CAD" w:sz="4"/>
            </w:tcBorders>
            <w:shd w:fill="EAF2FA"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Question de vérification, si le groupe hésite entre deux niveaux</w:t>
            </w:r>
          </w:p>
          <w:p>
            <w:pPr>
              <w:spacing w:after="0" w:before="0" w:line="276" w:lineRule="auto"/>
            </w:pPr>
            <w:r>
              <w:rPr>
                <w:rFonts w:ascii="Arial" w:cs="Arial" w:eastAsia="Arial" w:hAnsi="Arial"/>
              </w:rPr>
              <w:t xml:space="preserve">« Si nous retirions les outils demain, combien de personnes s’en plaindraient dès la première semaine ? » Si la réponse est « quelques-unes », vous êtes au niveau 1 ou 2.</w:t>
            </w:r>
          </w:p>
        </w:tc>
      </w:tr>
    </w:tbl>
    <w:p>
      <w:r>
        <w:br w:type="page"/>
      </w:r>
    </w:p>
    <w:p>
      <w:pPr>
        <w:pStyle w:val="Heading2"/>
        <w:spacing w:after="120" w:before="300"/>
      </w:pPr>
      <w:r>
        <w:rPr>
          <w:rFonts w:ascii="Arial" w:cs="Arial" w:eastAsia="Arial" w:hAnsi="Arial"/>
        </w:rPr>
        <w:t xml:space="preserve">B. Usages métiers et impact</w:t>
      </w:r>
    </w:p>
    <w:p>
      <w:pPr>
        <w:spacing w:after="120" w:before="0" w:line="276" w:lineRule="auto"/>
      </w:pPr>
      <w:r>
        <w:rPr>
          <w:rFonts w:ascii="Arial" w:cs="Arial" w:eastAsia="Arial" w:hAnsi="Arial"/>
          <w:b/>
          <w:bCs/>
        </w:rPr>
        <w:t xml:space="preserve">Ce que la dimension mesure. </w:t>
      </w:r>
      <w:r>
        <w:rPr>
          <w:rFonts w:ascii="Arial" w:cs="Arial" w:eastAsia="Arial" w:hAnsi="Arial"/>
        </w:rPr>
        <w:t xml:space="preserve">le degré d’adaptation des usages aux réalités de chaque métier, la façon dont les cas d’usage sont priorisés, la mesure de leur impact et le nombre de cas réellement utilisés en routine.</w:t>
      </w:r>
    </w:p>
    <w:p>
      <w:pPr>
        <w:spacing w:after="160" w:before="0" w:line="276" w:lineRule="auto"/>
      </w:pPr>
      <w:r>
        <w:rPr>
          <w:rFonts w:ascii="Arial" w:cs="Arial" w:eastAsia="Arial" w:hAnsi="Arial"/>
          <w:b/>
          <w:bCs/>
        </w:rPr>
        <w:t xml:space="preserve">Critères observés : </w:t>
      </w:r>
      <w:r>
        <w:rPr>
          <w:rFonts w:ascii="Arial" w:cs="Arial" w:eastAsia="Arial" w:hAnsi="Arial"/>
        </w:rPr>
        <w:t xml:space="preserve">adaptation aux métiers, priorisation, mesure de l’impact, cas en routine.</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1700"/>
        <w:gridCol w:w="7938"/>
      </w:tblGrid>
      <w:tr>
        <w:trPr>
          <w:cantSplit/>
        </w:trPr>
        <w:tc>
          <w:tcPr>
            <w:tcW w:type="dxa" w:w="1700"/>
            <w:shd w:fill="FDECEC"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2318"/>
                <w:sz w:val="18"/>
                <w:szCs w:val="18"/>
              </w:rPr>
              <w:t xml:space="preserve">Niveau 1</w:t>
            </w:r>
          </w:p>
          <w:p>
            <w:pPr>
              <w:spacing w:after="0" w:before="0" w:line="276" w:lineRule="auto"/>
            </w:pPr>
            <w:r>
              <w:rPr>
                <w:rFonts w:ascii="Arial" w:cs="Arial" w:eastAsia="Arial" w:hAnsi="Arial"/>
                <w:b/>
                <w:bCs/>
                <w:color w:val="0F172A"/>
                <w:sz w:val="20"/>
                <w:szCs w:val="20"/>
              </w:rPr>
              <w:t xml:space="preserve">Explorateur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Les usages restent génériques (rédaction, résumé, traduction) et ne sont pas adaptés aux métiers.</w:t>
            </w:r>
          </w:p>
          <w:p>
            <w:pPr>
              <w:pStyle w:val="ListParagraph"/>
              <w:numPr>
                <w:ilvl w:val="0"/>
                <w:numId w:val="2"/>
              </w:numPr>
              <w:spacing w:after="40" w:line="260"/>
            </w:pPr>
            <w:r>
              <w:rPr>
                <w:rFonts w:ascii="Arial" w:cs="Arial" w:eastAsia="Arial" w:hAnsi="Arial"/>
                <w:sz w:val="18"/>
                <w:szCs w:val="18"/>
              </w:rPr>
              <w:t xml:space="preserve">Les cas d’usage avancent au fil des idées, sans priorisation.</w:t>
            </w:r>
          </w:p>
          <w:p>
            <w:pPr>
              <w:pStyle w:val="ListParagraph"/>
              <w:numPr>
                <w:ilvl w:val="0"/>
                <w:numId w:val="2"/>
              </w:numPr>
              <w:spacing w:after="40" w:line="260"/>
            </w:pPr>
            <w:r>
              <w:rPr>
                <w:rFonts w:ascii="Arial" w:cs="Arial" w:eastAsia="Arial" w:hAnsi="Arial"/>
                <w:sz w:val="18"/>
                <w:szCs w:val="18"/>
              </w:rPr>
              <w:t xml:space="preserve">Aucune mesure d’impact n’existe.</w:t>
            </w:r>
          </w:p>
          <w:p>
            <w:pPr>
              <w:pStyle w:val="ListParagraph"/>
              <w:numPr>
                <w:ilvl w:val="0"/>
                <w:numId w:val="2"/>
              </w:numPr>
              <w:spacing w:after="40" w:line="260"/>
            </w:pPr>
            <w:r>
              <w:rPr>
                <w:rFonts w:ascii="Arial" w:cs="Arial" w:eastAsia="Arial" w:hAnsi="Arial"/>
                <w:sz w:val="18"/>
                <w:szCs w:val="18"/>
              </w:rPr>
              <w:t xml:space="preserve">Aucun cas d’usage n’est utilisé en routine au-delà de l’expérimentation.</w:t>
            </w:r>
          </w:p>
        </w:tc>
      </w:tr>
      <w:tr>
        <w:trPr>
          <w:cantSplit/>
        </w:trPr>
        <w:tc>
          <w:tcPr>
            <w:tcW w:type="dxa" w:w="1700"/>
            <w:shd w:fill="FEF3E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5309"/>
                <w:sz w:val="18"/>
                <w:szCs w:val="18"/>
              </w:rPr>
              <w:t xml:space="preserve">Niveau 2</w:t>
            </w:r>
          </w:p>
          <w:p>
            <w:pPr>
              <w:spacing w:after="0" w:before="0" w:line="276" w:lineRule="auto"/>
            </w:pPr>
            <w:r>
              <w:rPr>
                <w:rFonts w:ascii="Arial" w:cs="Arial" w:eastAsia="Arial" w:hAnsi="Arial"/>
                <w:b/>
                <w:bCs/>
                <w:color w:val="0F172A"/>
                <w:sz w:val="20"/>
                <w:szCs w:val="20"/>
              </w:rPr>
              <w:t xml:space="preserve">Pionnier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Un ou deux métiers pionniers ont leurs propres usages.</w:t>
            </w:r>
          </w:p>
          <w:p>
            <w:pPr>
              <w:pStyle w:val="ListParagraph"/>
              <w:numPr>
                <w:ilvl w:val="0"/>
                <w:numId w:val="2"/>
              </w:numPr>
              <w:spacing w:after="40" w:line="260"/>
            </w:pPr>
            <w:r>
              <w:rPr>
                <w:rFonts w:ascii="Arial" w:cs="Arial" w:eastAsia="Arial" w:hAnsi="Arial"/>
                <w:sz w:val="18"/>
                <w:szCs w:val="18"/>
              </w:rPr>
              <w:t xml:space="preserve">On retient surtout les cas faciles à tester.</w:t>
            </w:r>
          </w:p>
          <w:p>
            <w:pPr>
              <w:pStyle w:val="ListParagraph"/>
              <w:numPr>
                <w:ilvl w:val="0"/>
                <w:numId w:val="2"/>
              </w:numPr>
              <w:spacing w:after="40" w:line="260"/>
            </w:pPr>
            <w:r>
              <w:rPr>
                <w:rFonts w:ascii="Arial" w:cs="Arial" w:eastAsia="Arial" w:hAnsi="Arial"/>
                <w:sz w:val="18"/>
                <w:szCs w:val="18"/>
              </w:rPr>
              <w:t xml:space="preserve">L’impact se mesure par des retours qualitatifs informels.</w:t>
            </w:r>
          </w:p>
          <w:p>
            <w:pPr>
              <w:pStyle w:val="ListParagraph"/>
              <w:numPr>
                <w:ilvl w:val="0"/>
                <w:numId w:val="2"/>
              </w:numPr>
              <w:spacing w:after="40" w:line="260"/>
            </w:pPr>
            <w:r>
              <w:rPr>
                <w:rFonts w:ascii="Arial" w:cs="Arial" w:eastAsia="Arial" w:hAnsi="Arial"/>
                <w:sz w:val="18"/>
                <w:szCs w:val="18"/>
              </w:rPr>
              <w:t xml:space="preserve">Un à trois cas d’usage sont utilisés en routine.</w:t>
            </w:r>
          </w:p>
        </w:tc>
      </w:tr>
      <w:tr>
        <w:trPr>
          <w:cantSplit/>
        </w:trPr>
        <w:tc>
          <w:tcPr>
            <w:tcW w:type="dxa" w:w="1700"/>
            <w:shd w:fill="E6F4F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8A80"/>
                <w:sz w:val="18"/>
                <w:szCs w:val="18"/>
              </w:rPr>
              <w:t xml:space="preserve">Niveau 3</w:t>
            </w:r>
          </w:p>
          <w:p>
            <w:pPr>
              <w:spacing w:after="0" w:before="0" w:line="276" w:lineRule="auto"/>
            </w:pPr>
            <w:r>
              <w:rPr>
                <w:rFonts w:ascii="Arial" w:cs="Arial" w:eastAsia="Arial" w:hAnsi="Arial"/>
                <w:b/>
                <w:bCs/>
                <w:color w:val="0F172A"/>
                <w:sz w:val="20"/>
                <w:szCs w:val="20"/>
              </w:rPr>
              <w:t xml:space="preserve">Accélérateur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Plusieurs métiers disposent de cas d’usage documentés.</w:t>
            </w:r>
          </w:p>
          <w:p>
            <w:pPr>
              <w:pStyle w:val="ListParagraph"/>
              <w:numPr>
                <w:ilvl w:val="0"/>
                <w:numId w:val="2"/>
              </w:numPr>
              <w:spacing w:after="40" w:line="260"/>
            </w:pPr>
            <w:r>
              <w:rPr>
                <w:rFonts w:ascii="Arial" w:cs="Arial" w:eastAsia="Arial" w:hAnsi="Arial"/>
                <w:sz w:val="18"/>
                <w:szCs w:val="18"/>
              </w:rPr>
              <w:t xml:space="preserve">Valeur, faisabilité et risque sont évalués sur certains périmètres.</w:t>
            </w:r>
          </w:p>
          <w:p>
            <w:pPr>
              <w:pStyle w:val="ListParagraph"/>
              <w:numPr>
                <w:ilvl w:val="0"/>
                <w:numId w:val="2"/>
              </w:numPr>
              <w:spacing w:after="40" w:line="260"/>
            </w:pPr>
            <w:r>
              <w:rPr>
                <w:rFonts w:ascii="Arial" w:cs="Arial" w:eastAsia="Arial" w:hAnsi="Arial"/>
                <w:sz w:val="18"/>
                <w:szCs w:val="18"/>
              </w:rPr>
              <w:t xml:space="preserve">Des indicateurs existent sur certains périmètres.</w:t>
            </w:r>
          </w:p>
          <w:p>
            <w:pPr>
              <w:pStyle w:val="ListParagraph"/>
              <w:numPr>
                <w:ilvl w:val="0"/>
                <w:numId w:val="2"/>
              </w:numPr>
              <w:spacing w:after="40" w:line="260"/>
            </w:pPr>
            <w:r>
              <w:rPr>
                <w:rFonts w:ascii="Arial" w:cs="Arial" w:eastAsia="Arial" w:hAnsi="Arial"/>
                <w:sz w:val="18"/>
                <w:szCs w:val="18"/>
              </w:rPr>
              <w:t xml:space="preserve">Quatre à dix cas d’usage sont utilisés en routine.</w:t>
            </w:r>
          </w:p>
        </w:tc>
      </w:tr>
      <w:tr>
        <w:trPr>
          <w:cantSplit/>
        </w:trPr>
        <w:tc>
          <w:tcPr>
            <w:tcW w:type="dxa" w:w="1700"/>
            <w:shd w:fill="E3EEF9"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6CAD"/>
                <w:sz w:val="18"/>
                <w:szCs w:val="18"/>
              </w:rPr>
              <w:t xml:space="preserve">Niveau 4</w:t>
            </w:r>
          </w:p>
          <w:p>
            <w:pPr>
              <w:spacing w:after="0" w:before="0" w:line="276" w:lineRule="auto"/>
            </w:pPr>
            <w:r>
              <w:rPr>
                <w:rFonts w:ascii="Arial" w:cs="Arial" w:eastAsia="Arial" w:hAnsi="Arial"/>
                <w:b/>
                <w:bCs/>
                <w:color w:val="0F172A"/>
                <w:sz w:val="20"/>
                <w:szCs w:val="20"/>
              </w:rPr>
              <w:t xml:space="preserve">Transformateur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Une bibliothèque vivante d’usages par métier est maintenue et partagée.</w:t>
            </w:r>
          </w:p>
          <w:p>
            <w:pPr>
              <w:pStyle w:val="ListParagraph"/>
              <w:numPr>
                <w:ilvl w:val="0"/>
                <w:numId w:val="2"/>
              </w:numPr>
              <w:spacing w:after="40" w:line="260"/>
            </w:pPr>
            <w:r>
              <w:rPr>
                <w:rFonts w:ascii="Arial" w:cs="Arial" w:eastAsia="Arial" w:hAnsi="Arial"/>
                <w:sz w:val="18"/>
                <w:szCs w:val="18"/>
              </w:rPr>
              <w:t xml:space="preserve">Un portefeuille de cas est arbitré et piloté selon la valeur, la faisabilité, le risque et l’impact organisationnel.</w:t>
            </w:r>
          </w:p>
          <w:p>
            <w:pPr>
              <w:pStyle w:val="ListParagraph"/>
              <w:numPr>
                <w:ilvl w:val="0"/>
                <w:numId w:val="2"/>
              </w:numPr>
              <w:spacing w:after="40" w:line="260"/>
            </w:pPr>
            <w:r>
              <w:rPr>
                <w:rFonts w:ascii="Arial" w:cs="Arial" w:eastAsia="Arial" w:hAnsi="Arial"/>
                <w:sz w:val="18"/>
                <w:szCs w:val="18"/>
              </w:rPr>
              <w:t xml:space="preserve">L’adoption, le temps gagné, la qualité et le retour sur investissement sont pilotés régulièrement.</w:t>
            </w:r>
          </w:p>
          <w:p>
            <w:pPr>
              <w:pStyle w:val="ListParagraph"/>
              <w:numPr>
                <w:ilvl w:val="0"/>
                <w:numId w:val="2"/>
              </w:numPr>
              <w:spacing w:after="40" w:line="260"/>
            </w:pPr>
            <w:r>
              <w:rPr>
                <w:rFonts w:ascii="Arial" w:cs="Arial" w:eastAsia="Arial" w:hAnsi="Arial"/>
                <w:sz w:val="18"/>
                <w:szCs w:val="18"/>
              </w:rPr>
              <w:t xml:space="preserve">Plus de dix cas d’usage sont en routine, dans plusieurs métiers.</w:t>
            </w:r>
          </w:p>
        </w:tc>
      </w:tr>
    </w:tbl>
    <w:p>
      <w:pPr>
        <w:spacing w:after="16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64748B" w:sz="4"/>
              <w:left w:val="single" w:color="64748B" w:sz="24"/>
              <w:bottom w:val="single" w:color="64748B" w:sz="4"/>
              <w:right w:val="single" w:color="64748B" w:sz="4"/>
            </w:tcBorders>
            <w:shd w:fill="F8FAFC"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Preuves à demander avant de noter</w:t>
            </w:r>
          </w:p>
          <w:p>
            <w:pPr>
              <w:pStyle w:val="ListParagraph"/>
              <w:numPr>
                <w:ilvl w:val="0"/>
                <w:numId w:val="2"/>
              </w:numPr>
              <w:spacing w:after="40" w:line="260"/>
            </w:pPr>
            <w:r>
              <w:rPr>
                <w:rFonts w:ascii="Arial" w:cs="Arial" w:eastAsia="Arial" w:hAnsi="Arial"/>
                <w:sz w:val="18"/>
                <w:szCs w:val="18"/>
              </w:rPr>
              <w:t xml:space="preserve">La liste des cas d’usage en routine, avec pour chacun le métier, le nombre d’utilisateurs et la date de mise en service.</w:t>
            </w:r>
          </w:p>
          <w:p>
            <w:pPr>
              <w:pStyle w:val="ListParagraph"/>
              <w:numPr>
                <w:ilvl w:val="0"/>
                <w:numId w:val="2"/>
              </w:numPr>
              <w:spacing w:after="40" w:line="260"/>
            </w:pPr>
            <w:r>
              <w:rPr>
                <w:rFonts w:ascii="Arial" w:cs="Arial" w:eastAsia="Arial" w:hAnsi="Arial"/>
                <w:sz w:val="18"/>
                <w:szCs w:val="18"/>
              </w:rPr>
              <w:t xml:space="preserve">Une fiche de cas d’usage documentée (problème, prompt ou agent, résultat attendu, contrôle).</w:t>
            </w:r>
          </w:p>
          <w:p>
            <w:pPr>
              <w:pStyle w:val="ListParagraph"/>
              <w:numPr>
                <w:ilvl w:val="0"/>
                <w:numId w:val="2"/>
              </w:numPr>
              <w:spacing w:after="40" w:line="260"/>
            </w:pPr>
            <w:r>
              <w:rPr>
                <w:rFonts w:ascii="Arial" w:cs="Arial" w:eastAsia="Arial" w:hAnsi="Arial"/>
                <w:sz w:val="18"/>
                <w:szCs w:val="18"/>
              </w:rPr>
              <w:t xml:space="preserve">La grille ou le tableau ayant servi au dernier arbitrage de priorité.</w:t>
            </w:r>
          </w:p>
          <w:p>
            <w:pPr>
              <w:pStyle w:val="ListParagraph"/>
              <w:numPr>
                <w:ilvl w:val="0"/>
                <w:numId w:val="2"/>
              </w:numPr>
              <w:spacing w:after="40" w:line="260"/>
            </w:pPr>
            <w:r>
              <w:rPr>
                <w:rFonts w:ascii="Arial" w:cs="Arial" w:eastAsia="Arial" w:hAnsi="Arial"/>
                <w:sz w:val="18"/>
                <w:szCs w:val="18"/>
              </w:rPr>
              <w:t xml:space="preserve">Le dernier indicateur d’impact communiqué (temps gagné, qualité, volume traité).</w:t>
            </w: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6CAD" w:sz="4"/>
              <w:left w:val="single" w:color="176CAD" w:sz="24"/>
              <w:bottom w:val="single" w:color="176CAD" w:sz="4"/>
              <w:right w:val="single" w:color="176CAD" w:sz="4"/>
            </w:tcBorders>
            <w:shd w:fill="EAF2FA"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Question de vérification, si le groupe hésite entre deux niveaux</w:t>
            </w:r>
          </w:p>
          <w:p>
            <w:pPr>
              <w:spacing w:after="0" w:before="0" w:line="276" w:lineRule="auto"/>
            </w:pPr>
            <w:r>
              <w:rPr>
                <w:rFonts w:ascii="Arial" w:cs="Arial" w:eastAsia="Arial" w:hAnsi="Arial"/>
              </w:rPr>
              <w:t xml:space="preserve">« Citez trois cas d’usage, avec le métier, le nombre d’utilisateurs réguliers et un chiffre d’impact. » Si le troisième ne vient pas, vous n’êtes pas au niveau 3.</w:t>
            </w:r>
          </w:p>
        </w:tc>
      </w:tr>
    </w:tbl>
    <w:p>
      <w:r>
        <w:br w:type="page"/>
      </w:r>
    </w:p>
    <w:p>
      <w:pPr>
        <w:pStyle w:val="Heading2"/>
        <w:spacing w:after="120" w:before="300"/>
      </w:pPr>
      <w:r>
        <w:rPr>
          <w:rFonts w:ascii="Arial" w:cs="Arial" w:eastAsia="Arial" w:hAnsi="Arial"/>
        </w:rPr>
        <w:t xml:space="preserve">C. Agents et processus</w:t>
      </w:r>
    </w:p>
    <w:p>
      <w:pPr>
        <w:spacing w:after="120" w:before="0" w:line="276" w:lineRule="auto"/>
      </w:pPr>
      <w:r>
        <w:rPr>
          <w:rFonts w:ascii="Arial" w:cs="Arial" w:eastAsia="Arial" w:hAnsi="Arial"/>
          <w:b/>
          <w:bCs/>
        </w:rPr>
        <w:t xml:space="preserve">Ce que la dimension mesure. </w:t>
      </w:r>
      <w:r>
        <w:rPr>
          <w:rFonts w:ascii="Arial" w:cs="Arial" w:eastAsia="Arial" w:hAnsi="Arial"/>
        </w:rPr>
        <w:t xml:space="preserve">la maturité de l’organisation sur les assistants et agents IA, l’existence d’une cartographie du travail délégable, et la refonte des processus de bout en bout avec l’IA.</w:t>
      </w:r>
    </w:p>
    <w:p>
      <w:pPr>
        <w:spacing w:after="160" w:before="0" w:line="276" w:lineRule="auto"/>
      </w:pPr>
      <w:r>
        <w:rPr>
          <w:rFonts w:ascii="Arial" w:cs="Arial" w:eastAsia="Arial" w:hAnsi="Arial"/>
          <w:b/>
          <w:bCs/>
        </w:rPr>
        <w:t xml:space="preserve">Critères observés : </w:t>
      </w:r>
      <w:r>
        <w:rPr>
          <w:rFonts w:ascii="Arial" w:cs="Arial" w:eastAsia="Arial" w:hAnsi="Arial"/>
        </w:rPr>
        <w:t xml:space="preserve">maturité sur les agents, cartographie du délégable, refonte des processus.</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1700"/>
        <w:gridCol w:w="7938"/>
      </w:tblGrid>
      <w:tr>
        <w:trPr>
          <w:cantSplit/>
        </w:trPr>
        <w:tc>
          <w:tcPr>
            <w:tcW w:type="dxa" w:w="1700"/>
            <w:shd w:fill="FDECEC"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2318"/>
                <w:sz w:val="18"/>
                <w:szCs w:val="18"/>
              </w:rPr>
              <w:t xml:space="preserve">Niveau 1</w:t>
            </w:r>
          </w:p>
          <w:p>
            <w:pPr>
              <w:spacing w:after="0" w:before="0" w:line="276" w:lineRule="auto"/>
            </w:pPr>
            <w:r>
              <w:rPr>
                <w:rFonts w:ascii="Arial" w:cs="Arial" w:eastAsia="Arial" w:hAnsi="Arial"/>
                <w:b/>
                <w:bCs/>
                <w:color w:val="0F172A"/>
                <w:sz w:val="20"/>
                <w:szCs w:val="20"/>
              </w:rPr>
              <w:t xml:space="preserve">Explorateur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Le sujet des assistants et agents IA reste flou.</w:t>
            </w:r>
          </w:p>
          <w:p>
            <w:pPr>
              <w:pStyle w:val="ListParagraph"/>
              <w:numPr>
                <w:ilvl w:val="0"/>
                <w:numId w:val="2"/>
              </w:numPr>
              <w:spacing w:after="40" w:line="260"/>
            </w:pPr>
            <w:r>
              <w:rPr>
                <w:rFonts w:ascii="Arial" w:cs="Arial" w:eastAsia="Arial" w:hAnsi="Arial"/>
                <w:sz w:val="18"/>
                <w:szCs w:val="18"/>
              </w:rPr>
              <w:t xml:space="preserve">Les tâches et processus délégables à l’IA n’ont pas été cartographiés.</w:t>
            </w:r>
          </w:p>
          <w:p>
            <w:pPr>
              <w:pStyle w:val="ListParagraph"/>
              <w:numPr>
                <w:ilvl w:val="0"/>
                <w:numId w:val="2"/>
              </w:numPr>
              <w:spacing w:after="40" w:line="260"/>
            </w:pPr>
            <w:r>
              <w:rPr>
                <w:rFonts w:ascii="Arial" w:cs="Arial" w:eastAsia="Arial" w:hAnsi="Arial"/>
                <w:sz w:val="18"/>
                <w:szCs w:val="18"/>
              </w:rPr>
              <w:t xml:space="preserve">L’IA s’ajoute à l’existant ; aucun processus n’a été repensé.</w:t>
            </w:r>
          </w:p>
        </w:tc>
      </w:tr>
      <w:tr>
        <w:trPr>
          <w:cantSplit/>
        </w:trPr>
        <w:tc>
          <w:tcPr>
            <w:tcW w:type="dxa" w:w="1700"/>
            <w:shd w:fill="FEF3E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5309"/>
                <w:sz w:val="18"/>
                <w:szCs w:val="18"/>
              </w:rPr>
              <w:t xml:space="preserve">Niveau 2</w:t>
            </w:r>
          </w:p>
          <w:p>
            <w:pPr>
              <w:spacing w:after="0" w:before="0" w:line="276" w:lineRule="auto"/>
            </w:pPr>
            <w:r>
              <w:rPr>
                <w:rFonts w:ascii="Arial" w:cs="Arial" w:eastAsia="Arial" w:hAnsi="Arial"/>
                <w:b/>
                <w:bCs/>
                <w:color w:val="0F172A"/>
                <w:sz w:val="20"/>
                <w:szCs w:val="20"/>
              </w:rPr>
              <w:t xml:space="preserve">Pionnier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Une veille active existe et de premiers tests individuels ont eu lieu.</w:t>
            </w:r>
          </w:p>
          <w:p>
            <w:pPr>
              <w:pStyle w:val="ListParagraph"/>
              <w:numPr>
                <w:ilvl w:val="0"/>
                <w:numId w:val="2"/>
              </w:numPr>
              <w:spacing w:after="40" w:line="260"/>
            </w:pPr>
            <w:r>
              <w:rPr>
                <w:rFonts w:ascii="Arial" w:cs="Arial" w:eastAsia="Arial" w:hAnsi="Arial"/>
                <w:sz w:val="18"/>
                <w:szCs w:val="18"/>
              </w:rPr>
              <w:t xml:space="preserve">Des intuitions sur ce qui est délégable existent, sans formalisation.</w:t>
            </w:r>
          </w:p>
          <w:p>
            <w:pPr>
              <w:pStyle w:val="ListParagraph"/>
              <w:numPr>
                <w:ilvl w:val="0"/>
                <w:numId w:val="2"/>
              </w:numPr>
              <w:spacing w:after="40" w:line="260"/>
            </w:pPr>
            <w:r>
              <w:rPr>
                <w:rFonts w:ascii="Arial" w:cs="Arial" w:eastAsia="Arial" w:hAnsi="Arial"/>
                <w:sz w:val="18"/>
                <w:szCs w:val="18"/>
              </w:rPr>
              <w:t xml:space="preserve">Quelques expérimentations locales de refonte ont été menées.</w:t>
            </w:r>
          </w:p>
        </w:tc>
      </w:tr>
      <w:tr>
        <w:trPr>
          <w:cantSplit/>
        </w:trPr>
        <w:tc>
          <w:tcPr>
            <w:tcW w:type="dxa" w:w="1700"/>
            <w:shd w:fill="E6F4F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8A80"/>
                <w:sz w:val="18"/>
                <w:szCs w:val="18"/>
              </w:rPr>
              <w:t xml:space="preserve">Niveau 3</w:t>
            </w:r>
          </w:p>
          <w:p>
            <w:pPr>
              <w:spacing w:after="0" w:before="0" w:line="276" w:lineRule="auto"/>
            </w:pPr>
            <w:r>
              <w:rPr>
                <w:rFonts w:ascii="Arial" w:cs="Arial" w:eastAsia="Arial" w:hAnsi="Arial"/>
                <w:b/>
                <w:bCs/>
                <w:color w:val="0F172A"/>
                <w:sz w:val="20"/>
                <w:szCs w:val="20"/>
              </w:rPr>
              <w:t xml:space="preserve">Accélérateur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Des agents sont en pilote sur des cas métiers réels.</w:t>
            </w:r>
          </w:p>
          <w:p>
            <w:pPr>
              <w:pStyle w:val="ListParagraph"/>
              <w:numPr>
                <w:ilvl w:val="0"/>
                <w:numId w:val="2"/>
              </w:numPr>
              <w:spacing w:after="40" w:line="260"/>
            </w:pPr>
            <w:r>
              <w:rPr>
                <w:rFonts w:ascii="Arial" w:cs="Arial" w:eastAsia="Arial" w:hAnsi="Arial"/>
                <w:sz w:val="18"/>
                <w:szCs w:val="18"/>
              </w:rPr>
              <w:t xml:space="preserve">Une cartographie partielle existe sur quelques métiers.</w:t>
            </w:r>
          </w:p>
          <w:p>
            <w:pPr>
              <w:pStyle w:val="ListParagraph"/>
              <w:numPr>
                <w:ilvl w:val="0"/>
                <w:numId w:val="2"/>
              </w:numPr>
              <w:spacing w:after="40" w:line="260"/>
            </w:pPr>
            <w:r>
              <w:rPr>
                <w:rFonts w:ascii="Arial" w:cs="Arial" w:eastAsia="Arial" w:hAnsi="Arial"/>
                <w:sz w:val="18"/>
                <w:szCs w:val="18"/>
              </w:rPr>
              <w:t xml:space="preserve">Des processus clés sont redessinés et testés.</w:t>
            </w:r>
          </w:p>
        </w:tc>
      </w:tr>
      <w:tr>
        <w:trPr>
          <w:cantSplit/>
        </w:trPr>
        <w:tc>
          <w:tcPr>
            <w:tcW w:type="dxa" w:w="1700"/>
            <w:shd w:fill="E3EEF9"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6CAD"/>
                <w:sz w:val="18"/>
                <w:szCs w:val="18"/>
              </w:rPr>
              <w:t xml:space="preserve">Niveau 4</w:t>
            </w:r>
          </w:p>
          <w:p>
            <w:pPr>
              <w:spacing w:after="0" w:before="0" w:line="276" w:lineRule="auto"/>
            </w:pPr>
            <w:r>
              <w:rPr>
                <w:rFonts w:ascii="Arial" w:cs="Arial" w:eastAsia="Arial" w:hAnsi="Arial"/>
                <w:b/>
                <w:bCs/>
                <w:color w:val="0F172A"/>
                <w:sz w:val="20"/>
                <w:szCs w:val="20"/>
              </w:rPr>
              <w:t xml:space="preserve">Transformateur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Des agents sont déployés, supervisés et connectés aux outils de l’organisation.</w:t>
            </w:r>
          </w:p>
          <w:p>
            <w:pPr>
              <w:pStyle w:val="ListParagraph"/>
              <w:numPr>
                <w:ilvl w:val="0"/>
                <w:numId w:val="2"/>
              </w:numPr>
              <w:spacing w:after="40" w:line="260"/>
            </w:pPr>
            <w:r>
              <w:rPr>
                <w:rFonts w:ascii="Arial" w:cs="Arial" w:eastAsia="Arial" w:hAnsi="Arial"/>
                <w:sz w:val="18"/>
                <w:szCs w:val="18"/>
              </w:rPr>
              <w:t xml:space="preserve">La cartographie est priorisée par valeur, faisabilité, risque et besoin de supervision.</w:t>
            </w:r>
          </w:p>
          <w:p>
            <w:pPr>
              <w:pStyle w:val="ListParagraph"/>
              <w:numPr>
                <w:ilvl w:val="0"/>
                <w:numId w:val="2"/>
              </w:numPr>
              <w:spacing w:after="40" w:line="260"/>
            </w:pPr>
            <w:r>
              <w:rPr>
                <w:rFonts w:ascii="Arial" w:cs="Arial" w:eastAsia="Arial" w:hAnsi="Arial"/>
                <w:sz w:val="18"/>
                <w:szCs w:val="18"/>
              </w:rPr>
              <w:t xml:space="preserve">Des workflows humains-agents sont opérés, mesurés et améliorés en continu.</w:t>
            </w:r>
          </w:p>
        </w:tc>
      </w:tr>
    </w:tbl>
    <w:p>
      <w:pPr>
        <w:spacing w:after="16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64748B" w:sz="4"/>
              <w:left w:val="single" w:color="64748B" w:sz="24"/>
              <w:bottom w:val="single" w:color="64748B" w:sz="4"/>
              <w:right w:val="single" w:color="64748B" w:sz="4"/>
            </w:tcBorders>
            <w:shd w:fill="F8FAFC"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Preuves à demander avant de noter</w:t>
            </w:r>
          </w:p>
          <w:p>
            <w:pPr>
              <w:pStyle w:val="ListParagraph"/>
              <w:numPr>
                <w:ilvl w:val="0"/>
                <w:numId w:val="2"/>
              </w:numPr>
              <w:spacing w:after="40" w:line="260"/>
            </w:pPr>
            <w:r>
              <w:rPr>
                <w:rFonts w:ascii="Arial" w:cs="Arial" w:eastAsia="Arial" w:hAnsi="Arial"/>
                <w:sz w:val="18"/>
                <w:szCs w:val="18"/>
              </w:rPr>
              <w:t xml:space="preserve">La liste des agents en pilote ou en production, avec leur périmètre, leur superviseur et les outils auxquels ils accèdent.</w:t>
            </w:r>
          </w:p>
          <w:p>
            <w:pPr>
              <w:pStyle w:val="ListParagraph"/>
              <w:numPr>
                <w:ilvl w:val="0"/>
                <w:numId w:val="2"/>
              </w:numPr>
              <w:spacing w:after="40" w:line="260"/>
            </w:pPr>
            <w:r>
              <w:rPr>
                <w:rFonts w:ascii="Arial" w:cs="Arial" w:eastAsia="Arial" w:hAnsi="Arial"/>
                <w:sz w:val="18"/>
                <w:szCs w:val="18"/>
              </w:rPr>
              <w:t xml:space="preserve">La cartographie des tâches délégables, même partielle, et ses critères de priorisation.</w:t>
            </w:r>
          </w:p>
          <w:p>
            <w:pPr>
              <w:pStyle w:val="ListParagraph"/>
              <w:numPr>
                <w:ilvl w:val="0"/>
                <w:numId w:val="2"/>
              </w:numPr>
              <w:spacing w:after="40" w:line="260"/>
            </w:pPr>
            <w:r>
              <w:rPr>
                <w:rFonts w:ascii="Arial" w:cs="Arial" w:eastAsia="Arial" w:hAnsi="Arial"/>
                <w:sz w:val="18"/>
                <w:szCs w:val="18"/>
              </w:rPr>
              <w:t xml:space="preserve">Un processus « avant / après » documenté, avec le point de contrôle humain.</w:t>
            </w: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6CAD" w:sz="4"/>
              <w:left w:val="single" w:color="176CAD" w:sz="24"/>
              <w:bottom w:val="single" w:color="176CAD" w:sz="4"/>
              <w:right w:val="single" w:color="176CAD" w:sz="4"/>
            </w:tcBorders>
            <w:shd w:fill="EAF2FA"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Question de vérification, si le groupe hésite entre deux niveaux</w:t>
            </w:r>
          </w:p>
          <w:p>
            <w:pPr>
              <w:spacing w:after="0" w:before="0" w:line="276" w:lineRule="auto"/>
            </w:pPr>
            <w:r>
              <w:rPr>
                <w:rFonts w:ascii="Arial" w:cs="Arial" w:eastAsia="Arial" w:hAnsi="Arial"/>
              </w:rPr>
              <w:t xml:space="preserve">« Un agent a-t-il produit, ce mois-ci, un résultat qui a été utilisé tel quel par un métier, sous supervision ? » Sans un exemple daté, vous êtes au niveau 2 au plus.</w:t>
            </w:r>
          </w:p>
        </w:tc>
      </w:tr>
    </w:tbl>
    <w:p>
      <w:r>
        <w:br w:type="page"/>
      </w:r>
    </w:p>
    <w:p>
      <w:pPr>
        <w:pStyle w:val="Heading2"/>
        <w:spacing w:after="120" w:before="300"/>
      </w:pPr>
      <w:r>
        <w:rPr>
          <w:rFonts w:ascii="Arial" w:cs="Arial" w:eastAsia="Arial" w:hAnsi="Arial"/>
        </w:rPr>
        <w:t xml:space="preserve">D. Données et outils</w:t>
      </w:r>
    </w:p>
    <w:p>
      <w:pPr>
        <w:spacing w:after="120" w:before="0" w:line="276" w:lineRule="auto"/>
      </w:pPr>
      <w:r>
        <w:rPr>
          <w:rFonts w:ascii="Arial" w:cs="Arial" w:eastAsia="Arial" w:hAnsi="Arial"/>
          <w:b/>
          <w:bCs/>
        </w:rPr>
        <w:t xml:space="preserve">Ce que la dimension mesure. </w:t>
      </w:r>
      <w:r>
        <w:rPr>
          <w:rFonts w:ascii="Arial" w:cs="Arial" w:eastAsia="Arial" w:hAnsi="Arial"/>
        </w:rPr>
        <w:t xml:space="preserve">la mise à disposition d’outils IA sécurisés et adaptés, la préparation des données et des connaissances qui alimenteront assistants et agents, et la capacité d’intégration au système d’information.</w:t>
      </w:r>
    </w:p>
    <w:p>
      <w:pPr>
        <w:spacing w:after="160" w:before="0" w:line="276" w:lineRule="auto"/>
      </w:pPr>
      <w:r>
        <w:rPr>
          <w:rFonts w:ascii="Arial" w:cs="Arial" w:eastAsia="Arial" w:hAnsi="Arial"/>
          <w:b/>
          <w:bCs/>
        </w:rPr>
        <w:t xml:space="preserve">Critères observés : </w:t>
      </w:r>
      <w:r>
        <w:rPr>
          <w:rFonts w:ascii="Arial" w:cs="Arial" w:eastAsia="Arial" w:hAnsi="Arial"/>
        </w:rPr>
        <w:t xml:space="preserve">outils sécurisés, préparation des données, intégration au système d’information.</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1700"/>
        <w:gridCol w:w="7938"/>
      </w:tblGrid>
      <w:tr>
        <w:trPr>
          <w:cantSplit/>
        </w:trPr>
        <w:tc>
          <w:tcPr>
            <w:tcW w:type="dxa" w:w="1700"/>
            <w:shd w:fill="FDECEC"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2318"/>
                <w:sz w:val="18"/>
                <w:szCs w:val="18"/>
              </w:rPr>
              <w:t xml:space="preserve">Niveau 1</w:t>
            </w:r>
          </w:p>
          <w:p>
            <w:pPr>
              <w:spacing w:after="0" w:before="0" w:line="276" w:lineRule="auto"/>
            </w:pPr>
            <w:r>
              <w:rPr>
                <w:rFonts w:ascii="Arial" w:cs="Arial" w:eastAsia="Arial" w:hAnsi="Arial"/>
                <w:b/>
                <w:bCs/>
                <w:color w:val="0F172A"/>
                <w:sz w:val="20"/>
                <w:szCs w:val="20"/>
              </w:rPr>
              <w:t xml:space="preserve">Explorateur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Les comptes personnels dominent ; l’organisation ne fournit pas d’outil IA sécurisé.</w:t>
            </w:r>
          </w:p>
          <w:p>
            <w:pPr>
              <w:pStyle w:val="ListParagraph"/>
              <w:numPr>
                <w:ilvl w:val="0"/>
                <w:numId w:val="2"/>
              </w:numPr>
              <w:spacing w:after="40" w:line="260"/>
            </w:pPr>
            <w:r>
              <w:rPr>
                <w:rFonts w:ascii="Arial" w:cs="Arial" w:eastAsia="Arial" w:hAnsi="Arial"/>
                <w:sz w:val="18"/>
                <w:szCs w:val="18"/>
              </w:rPr>
              <w:t xml:space="preserve">Les sources de données et de connaissances sont dispersées ou peu fiables.</w:t>
            </w:r>
          </w:p>
          <w:p>
            <w:pPr>
              <w:pStyle w:val="ListParagraph"/>
              <w:numPr>
                <w:ilvl w:val="0"/>
                <w:numId w:val="2"/>
              </w:numPr>
              <w:spacing w:after="40" w:line="260"/>
            </w:pPr>
            <w:r>
              <w:rPr>
                <w:rFonts w:ascii="Arial" w:cs="Arial" w:eastAsia="Arial" w:hAnsi="Arial"/>
                <w:sz w:val="18"/>
                <w:szCs w:val="18"/>
              </w:rPr>
              <w:t xml:space="preserve">Les contraintes techniques d’intégration ne sont pas cadrées.</w:t>
            </w:r>
          </w:p>
        </w:tc>
      </w:tr>
      <w:tr>
        <w:trPr>
          <w:cantSplit/>
        </w:trPr>
        <w:tc>
          <w:tcPr>
            <w:tcW w:type="dxa" w:w="1700"/>
            <w:shd w:fill="FEF3E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5309"/>
                <w:sz w:val="18"/>
                <w:szCs w:val="18"/>
              </w:rPr>
              <w:t xml:space="preserve">Niveau 2</w:t>
            </w:r>
          </w:p>
          <w:p>
            <w:pPr>
              <w:spacing w:after="0" w:before="0" w:line="276" w:lineRule="auto"/>
            </w:pPr>
            <w:r>
              <w:rPr>
                <w:rFonts w:ascii="Arial" w:cs="Arial" w:eastAsia="Arial" w:hAnsi="Arial"/>
                <w:b/>
                <w:bCs/>
                <w:color w:val="0F172A"/>
                <w:sz w:val="20"/>
                <w:szCs w:val="20"/>
              </w:rPr>
              <w:t xml:space="preserve">Pionnier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Des outils sont testés sur un petit périmètre.</w:t>
            </w:r>
          </w:p>
          <w:p>
            <w:pPr>
              <w:pStyle w:val="ListParagraph"/>
              <w:numPr>
                <w:ilvl w:val="0"/>
                <w:numId w:val="2"/>
              </w:numPr>
              <w:spacing w:after="40" w:line="260"/>
            </w:pPr>
            <w:r>
              <w:rPr>
                <w:rFonts w:ascii="Arial" w:cs="Arial" w:eastAsia="Arial" w:hAnsi="Arial"/>
                <w:sz w:val="18"/>
                <w:szCs w:val="18"/>
              </w:rPr>
              <w:t xml:space="preserve">Quelques bases sont accessibles mais mal structurées.</w:t>
            </w:r>
          </w:p>
          <w:p>
            <w:pPr>
              <w:pStyle w:val="ListParagraph"/>
              <w:numPr>
                <w:ilvl w:val="0"/>
                <w:numId w:val="2"/>
              </w:numPr>
              <w:spacing w:after="40" w:line="260"/>
            </w:pPr>
            <w:r>
              <w:rPr>
                <w:rFonts w:ascii="Arial" w:cs="Arial" w:eastAsia="Arial" w:hAnsi="Arial"/>
                <w:sz w:val="18"/>
                <w:szCs w:val="18"/>
              </w:rPr>
              <w:t xml:space="preserve">Des tests d’intégration ont lieu, sans architecture cible.</w:t>
            </w:r>
          </w:p>
        </w:tc>
      </w:tr>
      <w:tr>
        <w:trPr>
          <w:cantSplit/>
        </w:trPr>
        <w:tc>
          <w:tcPr>
            <w:tcW w:type="dxa" w:w="1700"/>
            <w:shd w:fill="E6F4F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8A80"/>
                <w:sz w:val="18"/>
                <w:szCs w:val="18"/>
              </w:rPr>
              <w:t xml:space="preserve">Niveau 3</w:t>
            </w:r>
          </w:p>
          <w:p>
            <w:pPr>
              <w:spacing w:after="0" w:before="0" w:line="276" w:lineRule="auto"/>
            </w:pPr>
            <w:r>
              <w:rPr>
                <w:rFonts w:ascii="Arial" w:cs="Arial" w:eastAsia="Arial" w:hAnsi="Arial"/>
                <w:b/>
                <w:bCs/>
                <w:color w:val="0F172A"/>
                <w:sz w:val="20"/>
                <w:szCs w:val="20"/>
              </w:rPr>
              <w:t xml:space="preserve">Accélérateur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Un environnement sécurisé couvre une partie des équipes.</w:t>
            </w:r>
          </w:p>
          <w:p>
            <w:pPr>
              <w:pStyle w:val="ListParagraph"/>
              <w:numPr>
                <w:ilvl w:val="0"/>
                <w:numId w:val="2"/>
              </w:numPr>
              <w:spacing w:after="40" w:line="260"/>
            </w:pPr>
            <w:r>
              <w:rPr>
                <w:rFonts w:ascii="Arial" w:cs="Arial" w:eastAsia="Arial" w:hAnsi="Arial"/>
                <w:sz w:val="18"/>
                <w:szCs w:val="18"/>
              </w:rPr>
              <w:t xml:space="preserve">Les sources prioritaires sont identifiées et progressivement fiabilisées.</w:t>
            </w:r>
          </w:p>
          <w:p>
            <w:pPr>
              <w:pStyle w:val="ListParagraph"/>
              <w:numPr>
                <w:ilvl w:val="0"/>
                <w:numId w:val="2"/>
              </w:numPr>
              <w:spacing w:after="40" w:line="260"/>
            </w:pPr>
            <w:r>
              <w:rPr>
                <w:rFonts w:ascii="Arial" w:cs="Arial" w:eastAsia="Arial" w:hAnsi="Arial"/>
                <w:sz w:val="18"/>
                <w:szCs w:val="18"/>
              </w:rPr>
              <w:t xml:space="preserve">Des intégrations limitées existent, via API ou connecteurs.</w:t>
            </w:r>
          </w:p>
        </w:tc>
      </w:tr>
      <w:tr>
        <w:trPr>
          <w:cantSplit/>
        </w:trPr>
        <w:tc>
          <w:tcPr>
            <w:tcW w:type="dxa" w:w="1700"/>
            <w:shd w:fill="E3EEF9"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6CAD"/>
                <w:sz w:val="18"/>
                <w:szCs w:val="18"/>
              </w:rPr>
              <w:t xml:space="preserve">Niveau 4</w:t>
            </w:r>
          </w:p>
          <w:p>
            <w:pPr>
              <w:spacing w:after="0" w:before="0" w:line="276" w:lineRule="auto"/>
            </w:pPr>
            <w:r>
              <w:rPr>
                <w:rFonts w:ascii="Arial" w:cs="Arial" w:eastAsia="Arial" w:hAnsi="Arial"/>
                <w:b/>
                <w:bCs/>
                <w:color w:val="0F172A"/>
                <w:sz w:val="20"/>
                <w:szCs w:val="20"/>
              </w:rPr>
              <w:t xml:space="preserve">Transformateur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Des outils adaptés aux métiers sont déployés à l’échelle, avec support et suivi.</w:t>
            </w:r>
          </w:p>
          <w:p>
            <w:pPr>
              <w:pStyle w:val="ListParagraph"/>
              <w:numPr>
                <w:ilvl w:val="0"/>
                <w:numId w:val="2"/>
              </w:numPr>
              <w:spacing w:after="40" w:line="260"/>
            </w:pPr>
            <w:r>
              <w:rPr>
                <w:rFonts w:ascii="Arial" w:cs="Arial" w:eastAsia="Arial" w:hAnsi="Arial"/>
                <w:sz w:val="18"/>
                <w:szCs w:val="18"/>
              </w:rPr>
              <w:t xml:space="preserve">Les données sont gouvernées, accessibles, documentées et exploitables, avec des droits maîtrisés.</w:t>
            </w:r>
          </w:p>
          <w:p>
            <w:pPr>
              <w:pStyle w:val="ListParagraph"/>
              <w:numPr>
                <w:ilvl w:val="0"/>
                <w:numId w:val="2"/>
              </w:numPr>
              <w:spacing w:after="40" w:line="260"/>
            </w:pPr>
            <w:r>
              <w:rPr>
                <w:rFonts w:ascii="Arial" w:cs="Arial" w:eastAsia="Arial" w:hAnsi="Arial"/>
                <w:sz w:val="18"/>
                <w:szCs w:val="18"/>
              </w:rPr>
              <w:t xml:space="preserve">Une architecture cible, des standards d’intégration et une supervision sont en place.</w:t>
            </w:r>
          </w:p>
        </w:tc>
      </w:tr>
    </w:tbl>
    <w:p>
      <w:pPr>
        <w:spacing w:after="16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64748B" w:sz="4"/>
              <w:left w:val="single" w:color="64748B" w:sz="24"/>
              <w:bottom w:val="single" w:color="64748B" w:sz="4"/>
              <w:right w:val="single" w:color="64748B" w:sz="4"/>
            </w:tcBorders>
            <w:shd w:fill="F8FAFC"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Preuves à demander avant de noter</w:t>
            </w:r>
          </w:p>
          <w:p>
            <w:pPr>
              <w:pStyle w:val="ListParagraph"/>
              <w:numPr>
                <w:ilvl w:val="0"/>
                <w:numId w:val="2"/>
              </w:numPr>
              <w:spacing w:after="40" w:line="260"/>
            </w:pPr>
            <w:r>
              <w:rPr>
                <w:rFonts w:ascii="Arial" w:cs="Arial" w:eastAsia="Arial" w:hAnsi="Arial"/>
                <w:sz w:val="18"/>
                <w:szCs w:val="18"/>
              </w:rPr>
              <w:t xml:space="preserve">La liste des outils IA fournis, leur périmètre de déploiement et le taux de couverture des équipes.</w:t>
            </w:r>
          </w:p>
          <w:p>
            <w:pPr>
              <w:pStyle w:val="ListParagraph"/>
              <w:numPr>
                <w:ilvl w:val="0"/>
                <w:numId w:val="2"/>
              </w:numPr>
              <w:spacing w:after="40" w:line="260"/>
            </w:pPr>
            <w:r>
              <w:rPr>
                <w:rFonts w:ascii="Arial" w:cs="Arial" w:eastAsia="Arial" w:hAnsi="Arial"/>
                <w:sz w:val="18"/>
                <w:szCs w:val="18"/>
              </w:rPr>
              <w:t xml:space="preserve">La liste des sources de connaissances prioritaires, avec leur propriétaire et leur état de fiabilisation.</w:t>
            </w:r>
          </w:p>
          <w:p>
            <w:pPr>
              <w:pStyle w:val="ListParagraph"/>
              <w:numPr>
                <w:ilvl w:val="0"/>
                <w:numId w:val="2"/>
              </w:numPr>
              <w:spacing w:after="40" w:line="260"/>
            </w:pPr>
            <w:r>
              <w:rPr>
                <w:rFonts w:ascii="Arial" w:cs="Arial" w:eastAsia="Arial" w:hAnsi="Arial"/>
                <w:sz w:val="18"/>
                <w:szCs w:val="18"/>
              </w:rPr>
              <w:t xml:space="preserve">Le schéma d’architecture cible ou, à défaut, la note de cadrage technique de la DSI.</w:t>
            </w: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6CAD" w:sz="4"/>
              <w:left w:val="single" w:color="176CAD" w:sz="24"/>
              <w:bottom w:val="single" w:color="176CAD" w:sz="4"/>
              <w:right w:val="single" w:color="176CAD" w:sz="4"/>
            </w:tcBorders>
            <w:shd w:fill="EAF2FA"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Question de vérification, si le groupe hésite entre deux niveaux</w:t>
            </w:r>
          </w:p>
          <w:p>
            <w:pPr>
              <w:spacing w:after="0" w:before="0" w:line="276" w:lineRule="auto"/>
            </w:pPr>
            <w:r>
              <w:rPr>
                <w:rFonts w:ascii="Arial" w:cs="Arial" w:eastAsia="Arial" w:hAnsi="Arial"/>
              </w:rPr>
              <w:t xml:space="preserve">« Un nouvel arrivant dispose-t-il d’un outil IA sécurisé le jour de son arrivée, avec les connaissances de son métier accessibles ? » Si non, vous n’êtes pas au niveau 4.</w:t>
            </w:r>
          </w:p>
        </w:tc>
      </w:tr>
    </w:tbl>
    <w:p>
      <w:r>
        <w:br w:type="page"/>
      </w:r>
    </w:p>
    <w:p>
      <w:pPr>
        <w:pStyle w:val="Heading2"/>
        <w:spacing w:after="120" w:before="300"/>
      </w:pPr>
      <w:r>
        <w:rPr>
          <w:rFonts w:ascii="Arial" w:cs="Arial" w:eastAsia="Arial" w:hAnsi="Arial"/>
        </w:rPr>
        <w:t xml:space="preserve">E. Gouvernance et risques</w:t>
      </w:r>
    </w:p>
    <w:p>
      <w:pPr>
        <w:spacing w:after="120" w:before="0" w:line="276" w:lineRule="auto"/>
      </w:pPr>
      <w:r>
        <w:rPr>
          <w:rFonts w:ascii="Arial" w:cs="Arial" w:eastAsia="Arial" w:hAnsi="Arial"/>
          <w:b/>
          <w:bCs/>
        </w:rPr>
        <w:t xml:space="preserve">Ce que la dimension mesure. </w:t>
      </w:r>
      <w:r>
        <w:rPr>
          <w:rFonts w:ascii="Arial" w:cs="Arial" w:eastAsia="Arial" w:hAnsi="Arial"/>
        </w:rPr>
        <w:t xml:space="preserve">la charte d’usage, le traitement de la conformité, de la sécurité et des risques, la supervision des résultats produits par l’IA et les agents, le cadre applicable aux agents autonomes et la visibilité sur les usages d’outils grand public.</w:t>
      </w:r>
    </w:p>
    <w:p>
      <w:pPr>
        <w:spacing w:after="160" w:before="0" w:line="276" w:lineRule="auto"/>
      </w:pPr>
      <w:r>
        <w:rPr>
          <w:rFonts w:ascii="Arial" w:cs="Arial" w:eastAsia="Arial" w:hAnsi="Arial"/>
          <w:b/>
          <w:bCs/>
        </w:rPr>
        <w:t xml:space="preserve">Critères observés : </w:t>
      </w:r>
      <w:r>
        <w:rPr>
          <w:rFonts w:ascii="Arial" w:cs="Arial" w:eastAsia="Arial" w:hAnsi="Arial"/>
        </w:rPr>
        <w:t xml:space="preserve">charte d’usage, conformité et sécurité, supervision des résultats, cadre des agents, visibilité sur les usages non encadrés.</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1700"/>
        <w:gridCol w:w="7938"/>
      </w:tblGrid>
      <w:tr>
        <w:trPr>
          <w:cantSplit/>
        </w:trPr>
        <w:tc>
          <w:tcPr>
            <w:tcW w:type="dxa" w:w="1700"/>
            <w:shd w:fill="FDECEC"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2318"/>
                <w:sz w:val="18"/>
                <w:szCs w:val="18"/>
              </w:rPr>
              <w:t xml:space="preserve">Niveau 1</w:t>
            </w:r>
          </w:p>
          <w:p>
            <w:pPr>
              <w:spacing w:after="0" w:before="0" w:line="276" w:lineRule="auto"/>
            </w:pPr>
            <w:r>
              <w:rPr>
                <w:rFonts w:ascii="Arial" w:cs="Arial" w:eastAsia="Arial" w:hAnsi="Arial"/>
                <w:b/>
                <w:bCs/>
                <w:color w:val="0F172A"/>
                <w:sz w:val="20"/>
                <w:szCs w:val="20"/>
              </w:rPr>
              <w:t xml:space="preserve">Explorateur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Aucune règle d’usage n’est formalisée.</w:t>
            </w:r>
          </w:p>
          <w:p>
            <w:pPr>
              <w:pStyle w:val="ListParagraph"/>
              <w:numPr>
                <w:ilvl w:val="0"/>
                <w:numId w:val="2"/>
              </w:numPr>
              <w:spacing w:after="40" w:line="260"/>
            </w:pPr>
            <w:r>
              <w:rPr>
                <w:rFonts w:ascii="Arial" w:cs="Arial" w:eastAsia="Arial" w:hAnsi="Arial"/>
                <w:sz w:val="18"/>
                <w:szCs w:val="18"/>
              </w:rPr>
              <w:t xml:space="preserve">Conformité, sécurité et risques ne sont pas traités.</w:t>
            </w:r>
          </w:p>
          <w:p>
            <w:pPr>
              <w:pStyle w:val="ListParagraph"/>
              <w:numPr>
                <w:ilvl w:val="0"/>
                <w:numId w:val="2"/>
              </w:numPr>
              <w:spacing w:after="40" w:line="260"/>
            </w:pPr>
            <w:r>
              <w:rPr>
                <w:rFonts w:ascii="Arial" w:cs="Arial" w:eastAsia="Arial" w:hAnsi="Arial"/>
                <w:sz w:val="18"/>
                <w:szCs w:val="18"/>
              </w:rPr>
              <w:t xml:space="preserve">Aucun contrôle des résultats n’est défini.</w:t>
            </w:r>
          </w:p>
          <w:p>
            <w:pPr>
              <w:pStyle w:val="ListParagraph"/>
              <w:numPr>
                <w:ilvl w:val="0"/>
                <w:numId w:val="2"/>
              </w:numPr>
              <w:spacing w:after="40" w:line="260"/>
            </w:pPr>
            <w:r>
              <w:rPr>
                <w:rFonts w:ascii="Arial" w:cs="Arial" w:eastAsia="Arial" w:hAnsi="Arial"/>
                <w:sz w:val="18"/>
                <w:szCs w:val="18"/>
              </w:rPr>
              <w:t xml:space="preserve">Aucun cadre n’existe pour les agents autonomes, alors que des agents peuvent déjà être utilisés.</w:t>
            </w:r>
          </w:p>
          <w:p>
            <w:pPr>
              <w:pStyle w:val="ListParagraph"/>
              <w:numPr>
                <w:ilvl w:val="0"/>
                <w:numId w:val="2"/>
              </w:numPr>
              <w:spacing w:after="40" w:line="260"/>
            </w:pPr>
            <w:r>
              <w:rPr>
                <w:rFonts w:ascii="Arial" w:cs="Arial" w:eastAsia="Arial" w:hAnsi="Arial"/>
                <w:sz w:val="18"/>
                <w:szCs w:val="18"/>
              </w:rPr>
              <w:t xml:space="preserve">Aucune visibilité sur l’usage d’outils grand public, ou une interdiction sans moyen de contrôle.</w:t>
            </w:r>
          </w:p>
        </w:tc>
      </w:tr>
      <w:tr>
        <w:trPr>
          <w:cantSplit/>
        </w:trPr>
        <w:tc>
          <w:tcPr>
            <w:tcW w:type="dxa" w:w="1700"/>
            <w:shd w:fill="FEF3E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5309"/>
                <w:sz w:val="18"/>
                <w:szCs w:val="18"/>
              </w:rPr>
              <w:t xml:space="preserve">Niveau 2</w:t>
            </w:r>
          </w:p>
          <w:p>
            <w:pPr>
              <w:spacing w:after="0" w:before="0" w:line="276" w:lineRule="auto"/>
            </w:pPr>
            <w:r>
              <w:rPr>
                <w:rFonts w:ascii="Arial" w:cs="Arial" w:eastAsia="Arial" w:hAnsi="Arial"/>
                <w:b/>
                <w:bCs/>
                <w:color w:val="0F172A"/>
                <w:sz w:val="20"/>
                <w:szCs w:val="20"/>
              </w:rPr>
              <w:t xml:space="preserve">Pionnier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Des consignes générales de prudence ont été diffusées.</w:t>
            </w:r>
          </w:p>
          <w:p>
            <w:pPr>
              <w:pStyle w:val="ListParagraph"/>
              <w:numPr>
                <w:ilvl w:val="0"/>
                <w:numId w:val="2"/>
              </w:numPr>
              <w:spacing w:after="40" w:line="260"/>
            </w:pPr>
            <w:r>
              <w:rPr>
                <w:rFonts w:ascii="Arial" w:cs="Arial" w:eastAsia="Arial" w:hAnsi="Arial"/>
                <w:sz w:val="18"/>
                <w:szCs w:val="18"/>
              </w:rPr>
              <w:t xml:space="preserve">Les risques sont connus, sans plan d’action.</w:t>
            </w:r>
          </w:p>
          <w:p>
            <w:pPr>
              <w:pStyle w:val="ListParagraph"/>
              <w:numPr>
                <w:ilvl w:val="0"/>
                <w:numId w:val="2"/>
              </w:numPr>
              <w:spacing w:after="40" w:line="260"/>
            </w:pPr>
            <w:r>
              <w:rPr>
                <w:rFonts w:ascii="Arial" w:cs="Arial" w:eastAsia="Arial" w:hAnsi="Arial"/>
                <w:sz w:val="18"/>
                <w:szCs w:val="18"/>
              </w:rPr>
              <w:t xml:space="preserve">Les vérifications sont laissées à chacun.</w:t>
            </w:r>
          </w:p>
          <w:p>
            <w:pPr>
              <w:pStyle w:val="ListParagraph"/>
              <w:numPr>
                <w:ilvl w:val="0"/>
                <w:numId w:val="2"/>
              </w:numPr>
              <w:spacing w:after="40" w:line="260"/>
            </w:pPr>
            <w:r>
              <w:rPr>
                <w:rFonts w:ascii="Arial" w:cs="Arial" w:eastAsia="Arial" w:hAnsi="Arial"/>
                <w:sz w:val="18"/>
                <w:szCs w:val="18"/>
              </w:rPr>
              <w:t xml:space="preserve">Le sujet des agents autonomes n’est pas encore ouvert.</w:t>
            </w:r>
          </w:p>
          <w:p>
            <w:pPr>
              <w:pStyle w:val="ListParagraph"/>
              <w:numPr>
                <w:ilvl w:val="0"/>
                <w:numId w:val="2"/>
              </w:numPr>
              <w:spacing w:after="40" w:line="260"/>
            </w:pPr>
            <w:r>
              <w:rPr>
                <w:rFonts w:ascii="Arial" w:cs="Arial" w:eastAsia="Arial" w:hAnsi="Arial"/>
                <w:sz w:val="18"/>
                <w:szCs w:val="18"/>
              </w:rPr>
              <w:t xml:space="preserve">Des remontées informelles existent sur les usages non encadrés, sans mesure.</w:t>
            </w:r>
          </w:p>
        </w:tc>
      </w:tr>
      <w:tr>
        <w:trPr>
          <w:cantSplit/>
        </w:trPr>
        <w:tc>
          <w:tcPr>
            <w:tcW w:type="dxa" w:w="1700"/>
            <w:shd w:fill="E6F4F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8A80"/>
                <w:sz w:val="18"/>
                <w:szCs w:val="18"/>
              </w:rPr>
              <w:t xml:space="preserve">Niveau 3</w:t>
            </w:r>
          </w:p>
          <w:p>
            <w:pPr>
              <w:spacing w:after="0" w:before="0" w:line="276" w:lineRule="auto"/>
            </w:pPr>
            <w:r>
              <w:rPr>
                <w:rFonts w:ascii="Arial" w:cs="Arial" w:eastAsia="Arial" w:hAnsi="Arial"/>
                <w:b/>
                <w:bCs/>
                <w:color w:val="0F172A"/>
                <w:sz w:val="20"/>
                <w:szCs w:val="20"/>
              </w:rPr>
              <w:t xml:space="preserve">Accélérateur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Une charte est rédigée et diffusée.</w:t>
            </w:r>
          </w:p>
          <w:p>
            <w:pPr>
              <w:pStyle w:val="ListParagraph"/>
              <w:numPr>
                <w:ilvl w:val="0"/>
                <w:numId w:val="2"/>
              </w:numPr>
              <w:spacing w:after="40" w:line="260"/>
            </w:pPr>
            <w:r>
              <w:rPr>
                <w:rFonts w:ascii="Arial" w:cs="Arial" w:eastAsia="Arial" w:hAnsi="Arial"/>
                <w:sz w:val="18"/>
                <w:szCs w:val="18"/>
              </w:rPr>
              <w:t xml:space="preserve">Juridique, DSI et métiers analysent ensemble les principaux cas.</w:t>
            </w:r>
          </w:p>
          <w:p>
            <w:pPr>
              <w:pStyle w:val="ListParagraph"/>
              <w:numPr>
                <w:ilvl w:val="0"/>
                <w:numId w:val="2"/>
              </w:numPr>
              <w:spacing w:after="40" w:line="260"/>
            </w:pPr>
            <w:r>
              <w:rPr>
                <w:rFonts w:ascii="Arial" w:cs="Arial" w:eastAsia="Arial" w:hAnsi="Arial"/>
                <w:sz w:val="18"/>
                <w:szCs w:val="18"/>
              </w:rPr>
              <w:t xml:space="preserve">Des règles de validation existent sur les cas sensibles.</w:t>
            </w:r>
          </w:p>
          <w:p>
            <w:pPr>
              <w:pStyle w:val="ListParagraph"/>
              <w:numPr>
                <w:ilvl w:val="0"/>
                <w:numId w:val="2"/>
              </w:numPr>
              <w:spacing w:after="40" w:line="260"/>
            </w:pPr>
            <w:r>
              <w:rPr>
                <w:rFonts w:ascii="Arial" w:cs="Arial" w:eastAsia="Arial" w:hAnsi="Arial"/>
                <w:sz w:val="18"/>
                <w:szCs w:val="18"/>
              </w:rPr>
              <w:t xml:space="preserve">Une réflexion est engagée sur les agents autonomes, sans cadre formalisé.</w:t>
            </w:r>
          </w:p>
          <w:p>
            <w:pPr>
              <w:pStyle w:val="ListParagraph"/>
              <w:numPr>
                <w:ilvl w:val="0"/>
                <w:numId w:val="2"/>
              </w:numPr>
              <w:spacing w:after="40" w:line="260"/>
            </w:pPr>
            <w:r>
              <w:rPr>
                <w:rFonts w:ascii="Arial" w:cs="Arial" w:eastAsia="Arial" w:hAnsi="Arial"/>
                <w:sz w:val="18"/>
                <w:szCs w:val="18"/>
              </w:rPr>
              <w:t xml:space="preserve">La visibilité est partielle, sur certains périmètres ou certains outils.</w:t>
            </w:r>
          </w:p>
        </w:tc>
      </w:tr>
      <w:tr>
        <w:trPr>
          <w:cantSplit/>
        </w:trPr>
        <w:tc>
          <w:tcPr>
            <w:tcW w:type="dxa" w:w="1700"/>
            <w:shd w:fill="E3EEF9"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6CAD"/>
                <w:sz w:val="18"/>
                <w:szCs w:val="18"/>
              </w:rPr>
              <w:t xml:space="preserve">Niveau 4</w:t>
            </w:r>
          </w:p>
          <w:p>
            <w:pPr>
              <w:spacing w:after="0" w:before="0" w:line="276" w:lineRule="auto"/>
            </w:pPr>
            <w:r>
              <w:rPr>
                <w:rFonts w:ascii="Arial" w:cs="Arial" w:eastAsia="Arial" w:hAnsi="Arial"/>
                <w:b/>
                <w:bCs/>
                <w:color w:val="0F172A"/>
                <w:sz w:val="20"/>
                <w:szCs w:val="20"/>
              </w:rPr>
              <w:t xml:space="preserve">Transformateur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La charte est vivante : appliquée, enseignée en formation et régulièrement mise à jour.</w:t>
            </w:r>
          </w:p>
          <w:p>
            <w:pPr>
              <w:pStyle w:val="ListParagraph"/>
              <w:numPr>
                <w:ilvl w:val="0"/>
                <w:numId w:val="2"/>
              </w:numPr>
              <w:spacing w:after="40" w:line="260"/>
            </w:pPr>
            <w:r>
              <w:rPr>
                <w:rFonts w:ascii="Arial" w:cs="Arial" w:eastAsia="Arial" w:hAnsi="Arial"/>
                <w:sz w:val="18"/>
                <w:szCs w:val="18"/>
              </w:rPr>
              <w:t xml:space="preserve">Un cadre opérationnel couvre le RGPD, l’AI Act, la cybersécurité, la traçabilité et le contrôle humain.</w:t>
            </w:r>
          </w:p>
          <w:p>
            <w:pPr>
              <w:pStyle w:val="ListParagraph"/>
              <w:numPr>
                <w:ilvl w:val="0"/>
                <w:numId w:val="2"/>
              </w:numPr>
              <w:spacing w:after="40" w:line="260"/>
            </w:pPr>
            <w:r>
              <w:rPr>
                <w:rFonts w:ascii="Arial" w:cs="Arial" w:eastAsia="Arial" w:hAnsi="Arial"/>
                <w:sz w:val="18"/>
                <w:szCs w:val="18"/>
              </w:rPr>
              <w:t xml:space="preserve">Niveaux d’autonomie, contrôles humains, journaux et procédure d’incident sont formalisés pour l’IA et les agents.</w:t>
            </w:r>
          </w:p>
          <w:p>
            <w:pPr>
              <w:pStyle w:val="ListParagraph"/>
              <w:numPr>
                <w:ilvl w:val="0"/>
                <w:numId w:val="2"/>
              </w:numPr>
              <w:spacing w:after="40" w:line="260"/>
            </w:pPr>
            <w:r>
              <w:rPr>
                <w:rFonts w:ascii="Arial" w:cs="Arial" w:eastAsia="Arial" w:hAnsi="Arial"/>
                <w:sz w:val="18"/>
                <w:szCs w:val="18"/>
              </w:rPr>
              <w:t xml:space="preserve">Le cadre des agents autonomes est défini et appliqué.</w:t>
            </w:r>
          </w:p>
          <w:p>
            <w:pPr>
              <w:pStyle w:val="ListParagraph"/>
              <w:numPr>
                <w:ilvl w:val="0"/>
                <w:numId w:val="2"/>
              </w:numPr>
              <w:spacing w:after="40" w:line="260"/>
            </w:pPr>
            <w:r>
              <w:rPr>
                <w:rFonts w:ascii="Arial" w:cs="Arial" w:eastAsia="Arial" w:hAnsi="Arial"/>
                <w:sz w:val="18"/>
                <w:szCs w:val="18"/>
              </w:rPr>
              <w:t xml:space="preserve">L’usage des outils grand public est encadré, tracé et redirigé vers des outils validés.</w:t>
            </w:r>
          </w:p>
        </w:tc>
      </w:tr>
    </w:tbl>
    <w:p>
      <w:pPr>
        <w:spacing w:after="16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64748B" w:sz="4"/>
              <w:left w:val="single" w:color="64748B" w:sz="24"/>
              <w:bottom w:val="single" w:color="64748B" w:sz="4"/>
              <w:right w:val="single" w:color="64748B" w:sz="4"/>
            </w:tcBorders>
            <w:shd w:fill="F8FAFC"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Preuves à demander avant de noter</w:t>
            </w:r>
          </w:p>
          <w:p>
            <w:pPr>
              <w:pStyle w:val="ListParagraph"/>
              <w:numPr>
                <w:ilvl w:val="0"/>
                <w:numId w:val="2"/>
              </w:numPr>
              <w:spacing w:after="40" w:line="260"/>
            </w:pPr>
            <w:r>
              <w:rPr>
                <w:rFonts w:ascii="Arial" w:cs="Arial" w:eastAsia="Arial" w:hAnsi="Arial"/>
                <w:sz w:val="18"/>
                <w:szCs w:val="18"/>
              </w:rPr>
              <w:t xml:space="preserve">La charte d’usage, sa date de dernière mise à jour et la preuve de sa diffusion (formation, signature, intranet).</w:t>
            </w:r>
          </w:p>
          <w:p>
            <w:pPr>
              <w:pStyle w:val="ListParagraph"/>
              <w:numPr>
                <w:ilvl w:val="0"/>
                <w:numId w:val="2"/>
              </w:numPr>
              <w:spacing w:after="40" w:line="260"/>
            </w:pPr>
            <w:r>
              <w:rPr>
                <w:rFonts w:ascii="Arial" w:cs="Arial" w:eastAsia="Arial" w:hAnsi="Arial"/>
                <w:sz w:val="18"/>
                <w:szCs w:val="18"/>
              </w:rPr>
              <w:t xml:space="preserve">Le registre des cas analysés par le juridique, la DSI et les métiers, et la liste des cas sensibles soumis à validation.</w:t>
            </w:r>
          </w:p>
          <w:p>
            <w:pPr>
              <w:pStyle w:val="ListParagraph"/>
              <w:numPr>
                <w:ilvl w:val="0"/>
                <w:numId w:val="2"/>
              </w:numPr>
              <w:spacing w:after="40" w:line="260"/>
            </w:pPr>
            <w:r>
              <w:rPr>
                <w:rFonts w:ascii="Arial" w:cs="Arial" w:eastAsia="Arial" w:hAnsi="Arial"/>
                <w:sz w:val="18"/>
                <w:szCs w:val="18"/>
              </w:rPr>
              <w:t xml:space="preserve">La procédure d’incident IA et un exemple de journal d’activité d’un agent.</w:t>
            </w:r>
          </w:p>
          <w:p>
            <w:pPr>
              <w:pStyle w:val="ListParagraph"/>
              <w:numPr>
                <w:ilvl w:val="0"/>
                <w:numId w:val="2"/>
              </w:numPr>
              <w:spacing w:after="40" w:line="260"/>
            </w:pPr>
            <w:r>
              <w:rPr>
                <w:rFonts w:ascii="Arial" w:cs="Arial" w:eastAsia="Arial" w:hAnsi="Arial"/>
                <w:sz w:val="18"/>
                <w:szCs w:val="18"/>
              </w:rPr>
              <w:t xml:space="preserve">Le dernier relevé des outils IA grand public utilisés hors cadre.</w:t>
            </w: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6CAD" w:sz="4"/>
              <w:left w:val="single" w:color="176CAD" w:sz="24"/>
              <w:bottom w:val="single" w:color="176CAD" w:sz="4"/>
              <w:right w:val="single" w:color="176CAD" w:sz="4"/>
            </w:tcBorders>
            <w:shd w:fill="EAF2FA"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Question de vérification, si le groupe hésite entre deux niveaux</w:t>
            </w:r>
          </w:p>
          <w:p>
            <w:pPr>
              <w:spacing w:after="0" w:before="0" w:line="276" w:lineRule="auto"/>
            </w:pPr>
            <w:r>
              <w:rPr>
                <w:rFonts w:ascii="Arial" w:cs="Arial" w:eastAsia="Arial" w:hAnsi="Arial"/>
              </w:rPr>
              <w:t xml:space="preserve">« Si un agent envoyait demain une information erronée à un client, saurions-nous en une heure ce qu’il a fait, pourquoi, et qui devait le vérifier ? » Si non, vous n’êtes pas au niveau 4.</w:t>
            </w:r>
          </w:p>
        </w:tc>
      </w:tr>
    </w:tbl>
    <w:p>
      <w:r>
        <w:br w:type="page"/>
      </w:r>
    </w:p>
    <w:p>
      <w:pPr>
        <w:pStyle w:val="Heading2"/>
        <w:spacing w:after="120" w:before="300"/>
      </w:pPr>
      <w:r>
        <w:rPr>
          <w:rFonts w:ascii="Arial" w:cs="Arial" w:eastAsia="Arial" w:hAnsi="Arial"/>
        </w:rPr>
        <w:t xml:space="preserve">F. Stratégie et pilotage</w:t>
      </w:r>
    </w:p>
    <w:p>
      <w:pPr>
        <w:spacing w:after="120" w:before="0" w:line="276" w:lineRule="auto"/>
      </w:pPr>
      <w:r>
        <w:rPr>
          <w:rFonts w:ascii="Arial" w:cs="Arial" w:eastAsia="Arial" w:hAnsi="Arial"/>
          <w:b/>
          <w:bCs/>
        </w:rPr>
        <w:t xml:space="preserve">Ce que la dimension mesure. </w:t>
      </w:r>
      <w:r>
        <w:rPr>
          <w:rFonts w:ascii="Arial" w:cs="Arial" w:eastAsia="Arial" w:hAnsi="Arial"/>
        </w:rPr>
        <w:t xml:space="preserve">la place de l’IA au niveau de la direction, l’existence d’une gouvernance de programme avec des responsables identifiés, et l’évolution du modèle opérationnel (rôles, processus, offres, indicateurs).</w:t>
      </w:r>
    </w:p>
    <w:p>
      <w:pPr>
        <w:spacing w:after="160" w:before="0" w:line="276" w:lineRule="auto"/>
      </w:pPr>
      <w:r>
        <w:rPr>
          <w:rFonts w:ascii="Arial" w:cs="Arial" w:eastAsia="Arial" w:hAnsi="Arial"/>
          <w:b/>
          <w:bCs/>
        </w:rPr>
        <w:t xml:space="preserve">Critères observés : </w:t>
      </w:r>
      <w:r>
        <w:rPr>
          <w:rFonts w:ascii="Arial" w:cs="Arial" w:eastAsia="Arial" w:hAnsi="Arial"/>
        </w:rPr>
        <w:t xml:space="preserve">portage par la direction, gouvernance et responsabilités, évolution du modèle opérationnel.</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1700"/>
        <w:gridCol w:w="7938"/>
      </w:tblGrid>
      <w:tr>
        <w:trPr>
          <w:cantSplit/>
        </w:trPr>
        <w:tc>
          <w:tcPr>
            <w:tcW w:type="dxa" w:w="1700"/>
            <w:shd w:fill="FDECEC"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2318"/>
                <w:sz w:val="18"/>
                <w:szCs w:val="18"/>
              </w:rPr>
              <w:t xml:space="preserve">Niveau 1</w:t>
            </w:r>
          </w:p>
          <w:p>
            <w:pPr>
              <w:spacing w:after="0" w:before="0" w:line="276" w:lineRule="auto"/>
            </w:pPr>
            <w:r>
              <w:rPr>
                <w:rFonts w:ascii="Arial" w:cs="Arial" w:eastAsia="Arial" w:hAnsi="Arial"/>
                <w:b/>
                <w:bCs/>
                <w:color w:val="0F172A"/>
                <w:sz w:val="20"/>
                <w:szCs w:val="20"/>
              </w:rPr>
              <w:t xml:space="preserve">Explorateur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Le sujet est peu présent au niveau de la direction.</w:t>
            </w:r>
          </w:p>
          <w:p>
            <w:pPr>
              <w:pStyle w:val="ListParagraph"/>
              <w:numPr>
                <w:ilvl w:val="0"/>
                <w:numId w:val="2"/>
              </w:numPr>
              <w:spacing w:after="40" w:line="260"/>
            </w:pPr>
            <w:r>
              <w:rPr>
                <w:rFonts w:ascii="Arial" w:cs="Arial" w:eastAsia="Arial" w:hAnsi="Arial"/>
                <w:sz w:val="18"/>
                <w:szCs w:val="18"/>
              </w:rPr>
              <w:t xml:space="preserve">Aucun responsable clair n’est identifié.</w:t>
            </w:r>
          </w:p>
          <w:p>
            <w:pPr>
              <w:pStyle w:val="ListParagraph"/>
              <w:numPr>
                <w:ilvl w:val="0"/>
                <w:numId w:val="2"/>
              </w:numPr>
              <w:spacing w:after="40" w:line="260"/>
            </w:pPr>
            <w:r>
              <w:rPr>
                <w:rFonts w:ascii="Arial" w:cs="Arial" w:eastAsia="Arial" w:hAnsi="Arial"/>
                <w:sz w:val="18"/>
                <w:szCs w:val="18"/>
              </w:rPr>
              <w:t xml:space="preserve">L’organisation reste inchangée.</w:t>
            </w:r>
          </w:p>
        </w:tc>
      </w:tr>
      <w:tr>
        <w:trPr>
          <w:cantSplit/>
        </w:trPr>
        <w:tc>
          <w:tcPr>
            <w:tcW w:type="dxa" w:w="1700"/>
            <w:shd w:fill="FEF3E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B45309"/>
                <w:sz w:val="18"/>
                <w:szCs w:val="18"/>
              </w:rPr>
              <w:t xml:space="preserve">Niveau 2</w:t>
            </w:r>
          </w:p>
          <w:p>
            <w:pPr>
              <w:spacing w:after="0" w:before="0" w:line="276" w:lineRule="auto"/>
            </w:pPr>
            <w:r>
              <w:rPr>
                <w:rFonts w:ascii="Arial" w:cs="Arial" w:eastAsia="Arial" w:hAnsi="Arial"/>
                <w:b/>
                <w:bCs/>
                <w:color w:val="0F172A"/>
                <w:sz w:val="20"/>
                <w:szCs w:val="20"/>
              </w:rPr>
              <w:t xml:space="preserve">Pionnier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La direction déclare un intérêt, sans engagement concret.</w:t>
            </w:r>
          </w:p>
          <w:p>
            <w:pPr>
              <w:pStyle w:val="ListParagraph"/>
              <w:numPr>
                <w:ilvl w:val="0"/>
                <w:numId w:val="2"/>
              </w:numPr>
              <w:spacing w:after="40" w:line="260"/>
            </w:pPr>
            <w:r>
              <w:rPr>
                <w:rFonts w:ascii="Arial" w:cs="Arial" w:eastAsia="Arial" w:hAnsi="Arial"/>
                <w:sz w:val="18"/>
                <w:szCs w:val="18"/>
              </w:rPr>
              <w:t xml:space="preserve">Un sponsor ou quelques porteurs isolés existent.</w:t>
            </w:r>
          </w:p>
          <w:p>
            <w:pPr>
              <w:pStyle w:val="ListParagraph"/>
              <w:numPr>
                <w:ilvl w:val="0"/>
                <w:numId w:val="2"/>
              </w:numPr>
              <w:spacing w:after="40" w:line="260"/>
            </w:pPr>
            <w:r>
              <w:rPr>
                <w:rFonts w:ascii="Arial" w:cs="Arial" w:eastAsia="Arial" w:hAnsi="Arial"/>
                <w:sz w:val="18"/>
                <w:szCs w:val="18"/>
              </w:rPr>
              <w:t xml:space="preserve">Des réflexions ponctuelles ont lieu sur l’évolution du modèle.</w:t>
            </w:r>
          </w:p>
        </w:tc>
      </w:tr>
      <w:tr>
        <w:trPr>
          <w:cantSplit/>
        </w:trPr>
        <w:tc>
          <w:tcPr>
            <w:tcW w:type="dxa" w:w="1700"/>
            <w:shd w:fill="E6F4F2"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8A80"/>
                <w:sz w:val="18"/>
                <w:szCs w:val="18"/>
              </w:rPr>
              <w:t xml:space="preserve">Niveau 3</w:t>
            </w:r>
          </w:p>
          <w:p>
            <w:pPr>
              <w:spacing w:after="0" w:before="0" w:line="276" w:lineRule="auto"/>
            </w:pPr>
            <w:r>
              <w:rPr>
                <w:rFonts w:ascii="Arial" w:cs="Arial" w:eastAsia="Arial" w:hAnsi="Arial"/>
                <w:b/>
                <w:bCs/>
                <w:color w:val="0F172A"/>
                <w:sz w:val="20"/>
                <w:szCs w:val="20"/>
              </w:rPr>
              <w:t xml:space="preserve">Accélérateur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Une ambition est définie, avec un budget.</w:t>
            </w:r>
          </w:p>
          <w:p>
            <w:pPr>
              <w:pStyle w:val="ListParagraph"/>
              <w:numPr>
                <w:ilvl w:val="0"/>
                <w:numId w:val="2"/>
              </w:numPr>
              <w:spacing w:after="40" w:line="260"/>
            </w:pPr>
            <w:r>
              <w:rPr>
                <w:rFonts w:ascii="Arial" w:cs="Arial" w:eastAsia="Arial" w:hAnsi="Arial"/>
                <w:sz w:val="18"/>
                <w:szCs w:val="18"/>
              </w:rPr>
              <w:t xml:space="preserve">Des rôles et des instances existent sur certains chantiers.</w:t>
            </w:r>
          </w:p>
          <w:p>
            <w:pPr>
              <w:pStyle w:val="ListParagraph"/>
              <w:numPr>
                <w:ilvl w:val="0"/>
                <w:numId w:val="2"/>
              </w:numPr>
              <w:spacing w:after="40" w:line="260"/>
            </w:pPr>
            <w:r>
              <w:rPr>
                <w:rFonts w:ascii="Arial" w:cs="Arial" w:eastAsia="Arial" w:hAnsi="Arial"/>
                <w:sz w:val="18"/>
                <w:szCs w:val="18"/>
              </w:rPr>
              <w:t xml:space="preserve">Des chantiers de refonte touchent certains processus ou certaines offres.</w:t>
            </w:r>
          </w:p>
        </w:tc>
      </w:tr>
      <w:tr>
        <w:trPr>
          <w:cantSplit/>
        </w:trPr>
        <w:tc>
          <w:tcPr>
            <w:tcW w:type="dxa" w:w="1700"/>
            <w:shd w:fill="E3EEF9" w:color="auto" w:val="clear"/>
            <w:tcMar>
              <w:top w:type="dxa" w:w="70"/>
              <w:left w:type="dxa" w:w="100"/>
              <w:bottom w:type="dxa" w:w="70"/>
              <w:right w:type="dxa" w:w="100"/>
            </w:tcMar>
            <w:vAlign w:val="top"/>
          </w:tcPr>
          <w:p>
            <w:pPr>
              <w:spacing w:after="20" w:before="0" w:line="276" w:lineRule="auto"/>
            </w:pPr>
            <w:r>
              <w:rPr>
                <w:rFonts w:ascii="Arial" w:cs="Arial" w:eastAsia="Arial" w:hAnsi="Arial"/>
                <w:b/>
                <w:bCs/>
                <w:color w:val="176CAD"/>
                <w:sz w:val="18"/>
                <w:szCs w:val="18"/>
              </w:rPr>
              <w:t xml:space="preserve">Niveau 4</w:t>
            </w:r>
          </w:p>
          <w:p>
            <w:pPr>
              <w:spacing w:after="0" w:before="0" w:line="276" w:lineRule="auto"/>
            </w:pPr>
            <w:r>
              <w:rPr>
                <w:rFonts w:ascii="Arial" w:cs="Arial" w:eastAsia="Arial" w:hAnsi="Arial"/>
                <w:b/>
                <w:bCs/>
                <w:color w:val="0F172A"/>
                <w:sz w:val="20"/>
                <w:szCs w:val="20"/>
              </w:rPr>
              <w:t xml:space="preserve">Transformateur</w:t>
            </w:r>
          </w:p>
        </w:tc>
        <w:tc>
          <w:tcPr>
            <w:tcW w:type="dxa" w:w="7938"/>
            <w:tcMar>
              <w:top w:type="dxa" w:w="70"/>
              <w:left w:type="dxa" w:w="100"/>
              <w:bottom w:type="dxa" w:w="70"/>
              <w:right w:type="dxa" w:w="100"/>
            </w:tcMar>
            <w:vAlign w:val="top"/>
          </w:tcPr>
          <w:p>
            <w:pPr>
              <w:pStyle w:val="ListParagraph"/>
              <w:numPr>
                <w:ilvl w:val="0"/>
                <w:numId w:val="2"/>
              </w:numPr>
              <w:spacing w:after="40" w:line="260"/>
            </w:pPr>
            <w:r>
              <w:rPr>
                <w:rFonts w:ascii="Arial" w:cs="Arial" w:eastAsia="Arial" w:hAnsi="Arial"/>
                <w:sz w:val="18"/>
                <w:szCs w:val="18"/>
              </w:rPr>
              <w:t xml:space="preserve">Une vision est portée par la direction, avec une feuille de route pilotée.</w:t>
            </w:r>
          </w:p>
          <w:p>
            <w:pPr>
              <w:pStyle w:val="ListParagraph"/>
              <w:numPr>
                <w:ilvl w:val="0"/>
                <w:numId w:val="2"/>
              </w:numPr>
              <w:spacing w:after="40" w:line="260"/>
            </w:pPr>
            <w:r>
              <w:rPr>
                <w:rFonts w:ascii="Arial" w:cs="Arial" w:eastAsia="Arial" w:hAnsi="Arial"/>
                <w:sz w:val="18"/>
                <w:szCs w:val="18"/>
              </w:rPr>
              <w:t xml:space="preserve">Sponsor, équipe programme, métiers, DSI, RH et juridique ont des rôles et des arbitrages explicites.</w:t>
            </w:r>
          </w:p>
          <w:p>
            <w:pPr>
              <w:pStyle w:val="ListParagraph"/>
              <w:numPr>
                <w:ilvl w:val="0"/>
                <w:numId w:val="2"/>
              </w:numPr>
              <w:spacing w:after="40" w:line="260"/>
            </w:pPr>
            <w:r>
              <w:rPr>
                <w:rFonts w:ascii="Arial" w:cs="Arial" w:eastAsia="Arial" w:hAnsi="Arial"/>
                <w:sz w:val="18"/>
                <w:szCs w:val="18"/>
              </w:rPr>
              <w:t xml:space="preserve">Rôles, processus, offres et indicateurs évoluent dans une trajectoire de transformation cohérente.</w:t>
            </w:r>
          </w:p>
        </w:tc>
      </w:tr>
    </w:tbl>
    <w:p>
      <w:pPr>
        <w:spacing w:after="16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64748B" w:sz="4"/>
              <w:left w:val="single" w:color="64748B" w:sz="24"/>
              <w:bottom w:val="single" w:color="64748B" w:sz="4"/>
              <w:right w:val="single" w:color="64748B" w:sz="4"/>
            </w:tcBorders>
            <w:shd w:fill="F8FAFC"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Preuves à demander avant de noter</w:t>
            </w:r>
          </w:p>
          <w:p>
            <w:pPr>
              <w:pStyle w:val="ListParagraph"/>
              <w:numPr>
                <w:ilvl w:val="0"/>
                <w:numId w:val="2"/>
              </w:numPr>
              <w:spacing w:after="40" w:line="260"/>
            </w:pPr>
            <w:r>
              <w:rPr>
                <w:rFonts w:ascii="Arial" w:cs="Arial" w:eastAsia="Arial" w:hAnsi="Arial"/>
                <w:sz w:val="18"/>
                <w:szCs w:val="18"/>
              </w:rPr>
              <w:t xml:space="preserve">La note d’ambition ou la feuille de route IA validée par la direction, avec son budget.</w:t>
            </w:r>
          </w:p>
          <w:p>
            <w:pPr>
              <w:pStyle w:val="ListParagraph"/>
              <w:numPr>
                <w:ilvl w:val="0"/>
                <w:numId w:val="2"/>
              </w:numPr>
              <w:spacing w:after="40" w:line="260"/>
            </w:pPr>
            <w:r>
              <w:rPr>
                <w:rFonts w:ascii="Arial" w:cs="Arial" w:eastAsia="Arial" w:hAnsi="Arial"/>
                <w:sz w:val="18"/>
                <w:szCs w:val="18"/>
              </w:rPr>
              <w:t xml:space="preserve">L’organigramme du programme : sponsor, responsable, instances, fréquence de revue.</w:t>
            </w:r>
          </w:p>
          <w:p>
            <w:pPr>
              <w:pStyle w:val="ListParagraph"/>
              <w:numPr>
                <w:ilvl w:val="0"/>
                <w:numId w:val="2"/>
              </w:numPr>
              <w:spacing w:after="40" w:line="260"/>
            </w:pPr>
            <w:r>
              <w:rPr>
                <w:rFonts w:ascii="Arial" w:cs="Arial" w:eastAsia="Arial" w:hAnsi="Arial"/>
                <w:sz w:val="18"/>
                <w:szCs w:val="18"/>
              </w:rPr>
              <w:t xml:space="preserve">Le compte rendu de la dernière instance de pilotage ayant pris une décision d’arbitrage.</w:t>
            </w:r>
          </w:p>
        </w:tc>
      </w:tr>
    </w:tbl>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6CAD" w:sz="4"/>
              <w:left w:val="single" w:color="176CAD" w:sz="24"/>
              <w:bottom w:val="single" w:color="176CAD" w:sz="4"/>
              <w:right w:val="single" w:color="176CAD" w:sz="4"/>
            </w:tcBorders>
            <w:shd w:fill="EAF2FA"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Question de vérification, si le groupe hésite entre deux niveaux</w:t>
            </w:r>
          </w:p>
          <w:p>
            <w:pPr>
              <w:spacing w:after="0" w:before="0" w:line="276" w:lineRule="auto"/>
            </w:pPr>
            <w:r>
              <w:rPr>
                <w:rFonts w:ascii="Arial" w:cs="Arial" w:eastAsia="Arial" w:hAnsi="Arial"/>
              </w:rPr>
              <w:t xml:space="preserve">« Quelle décision d’arbitrage sur l’IA la direction a-t-elle prise au cours des trois derniers mois, et où est-elle écrite ? » Sans réponse précise, vous êtes au niveau 2 au plus.</w:t>
            </w:r>
          </w:p>
        </w:tc>
      </w:tr>
    </w:tbl>
    <w:p>
      <w:r>
        <w:br w:type="page"/>
      </w:r>
    </w:p>
    <w:p>
      <w:pPr>
        <w:pStyle w:val="Heading1"/>
        <w:spacing w:after="200" w:before="0"/>
      </w:pPr>
      <w:r>
        <w:rPr>
          <w:rFonts w:ascii="Arial" w:cs="Arial" w:eastAsia="Arial" w:hAnsi="Arial"/>
        </w:rPr>
        <w:t xml:space="preserve">3. La feuille de notation</w:t>
      </w:r>
    </w:p>
    <w:p>
      <w:pPr>
        <w:spacing w:after="200" w:before="0" w:line="276" w:lineRule="auto"/>
      </w:pPr>
      <w:r>
        <w:rPr>
          <w:rFonts w:ascii="Arial" w:cs="Arial" w:eastAsia="Arial" w:hAnsi="Arial"/>
          <w:color w:val="475569"/>
          <w:sz w:val="24"/>
          <w:szCs w:val="24"/>
        </w:rPr>
        <w:t xml:space="preserve">Une note par dimension, une preuve par note, puis trois lectures : le profil global, la dimension plancher et le point d’appui.</w:t>
      </w:r>
    </w:p>
    <w:p>
      <w:pPr>
        <w:pStyle w:val="Heading2"/>
        <w:spacing w:after="120" w:before="300"/>
      </w:pPr>
      <w:r>
        <w:rPr>
          <w:rFonts w:ascii="Arial" w:cs="Arial" w:eastAsia="Arial" w:hAnsi="Arial"/>
        </w:rPr>
        <w:t xml:space="preserve">Étape 1 : noter chaque dimension</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2500"/>
        <w:gridCol w:w="1500"/>
        <w:gridCol w:w="2700"/>
        <w:gridCol w:w="2938"/>
      </w:tblGrid>
      <w:tr>
        <w:trPr>
          <w:cantSplit/>
          <w:tblHeader/>
        </w:trPr>
        <w:tc>
          <w:tcPr>
            <w:tcW w:type="dxa" w:w="25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Dimension</w:t>
            </w:r>
          </w:p>
        </w:tc>
        <w:tc>
          <w:tcPr>
            <w:tcW w:type="dxa" w:w="15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Niveau retenu (1 à 4)</w:t>
            </w:r>
          </w:p>
        </w:tc>
        <w:tc>
          <w:tcPr>
            <w:tcW w:type="dxa" w:w="27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Preuve principale</w:t>
            </w:r>
          </w:p>
        </w:tc>
        <w:tc>
          <w:tcPr>
            <w:tcW w:type="dxa" w:w="29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Premier descripteur manquant pour le niveau suivant</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A. Adoption et compétences</w:t>
            </w:r>
          </w:p>
        </w:tc>
        <w:tc>
          <w:tcPr>
            <w:tcW w:type="dxa" w:w="15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7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9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B. Usages métiers et impact</w:t>
            </w:r>
          </w:p>
        </w:tc>
        <w:tc>
          <w:tcPr>
            <w:tcW w:type="dxa" w:w="15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7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9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C. Agents et processus</w:t>
            </w:r>
          </w:p>
        </w:tc>
        <w:tc>
          <w:tcPr>
            <w:tcW w:type="dxa" w:w="15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7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9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D. Données et outils</w:t>
            </w:r>
          </w:p>
        </w:tc>
        <w:tc>
          <w:tcPr>
            <w:tcW w:type="dxa" w:w="15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7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9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E. Gouvernance et risques</w:t>
            </w:r>
          </w:p>
        </w:tc>
        <w:tc>
          <w:tcPr>
            <w:tcW w:type="dxa" w:w="15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7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9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F. Stratégie et pilotage</w:t>
            </w:r>
          </w:p>
        </w:tc>
        <w:tc>
          <w:tcPr>
            <w:tcW w:type="dxa" w:w="15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7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9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bl>
    <w:p>
      <w:pPr>
        <w:spacing w:after="120"/>
      </w:pPr>
    </w:p>
    <w:p>
      <w:pPr>
        <w:spacing w:after="120" w:before="0" w:line="276" w:lineRule="auto"/>
      </w:pPr>
      <w:r>
        <w:rPr>
          <w:rFonts w:ascii="Arial" w:cs="Arial" w:eastAsia="Arial" w:hAnsi="Arial"/>
          <w:color w:val="475569"/>
          <w:sz w:val="18"/>
          <w:szCs w:val="18"/>
        </w:rPr>
        <w:t xml:space="preserve">Le « premier descripteur manquant » est la case à cocher la plus proche : c’est souvent là que se trouve le chantier le plus rentable.</w:t>
      </w:r>
    </w:p>
    <w:p>
      <w:pPr>
        <w:pStyle w:val="Heading2"/>
        <w:spacing w:after="120" w:before="300"/>
      </w:pPr>
      <w:r>
        <w:rPr>
          <w:rFonts w:ascii="Arial" w:cs="Arial" w:eastAsia="Arial" w:hAnsi="Arial"/>
        </w:rPr>
        <w:t xml:space="preserve">Étape 2 : calculer le profil global</w:t>
      </w:r>
    </w:p>
    <w:p>
      <w:pPr>
        <w:spacing w:after="120" w:before="0" w:line="276" w:lineRule="auto"/>
      </w:pPr>
      <w:r>
        <w:rPr>
          <w:rFonts w:ascii="Arial" w:cs="Arial" w:eastAsia="Arial" w:hAnsi="Arial"/>
        </w:rPr>
        <w:t xml:space="preserve">Additionnez les six niveaux. Le total est compris entre 6 et 24.</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1200"/>
        <w:gridCol w:w="1900"/>
        <w:gridCol w:w="6538"/>
      </w:tblGrid>
      <w:tr>
        <w:trPr>
          <w:cantSplit/>
          <w:tblHeader/>
        </w:trPr>
        <w:tc>
          <w:tcPr>
            <w:tcW w:type="dxa" w:w="12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Total</w:t>
            </w:r>
          </w:p>
        </w:tc>
        <w:tc>
          <w:tcPr>
            <w:tcW w:type="dxa" w:w="19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Profil global</w:t>
            </w:r>
          </w:p>
        </w:tc>
        <w:tc>
          <w:tcPr>
            <w:tcW w:type="dxa" w:w="65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Ce que cela signifie</w:t>
            </w:r>
          </w:p>
        </w:tc>
      </w:tr>
      <w:tr>
        <w:trPr>
          <w:cantSplit/>
        </w:trPr>
        <w:tc>
          <w:tcPr>
            <w:tcW w:type="dxa" w:w="12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6 à 9</w:t>
            </w:r>
          </w:p>
        </w:tc>
        <w:tc>
          <w:tcPr>
            <w:tcW w:type="dxa" w:w="19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Explorateur</w:t>
            </w:r>
          </w:p>
        </w:tc>
        <w:tc>
          <w:tcPr>
            <w:tcW w:type="dxa" w:w="6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 potentiel est largement ouvert. La priorité est de sécuriser les premiers usages, d’acculturer largement et d’identifier quelques cas à valeur rapide.</w:t>
            </w:r>
          </w:p>
        </w:tc>
      </w:tr>
      <w:tr>
        <w:trPr>
          <w:cantSplit/>
        </w:trPr>
        <w:tc>
          <w:tcPr>
            <w:tcW w:type="dxa" w:w="12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10 à 14</w:t>
            </w:r>
          </w:p>
        </w:tc>
        <w:tc>
          <w:tcPr>
            <w:tcW w:type="dxa" w:w="19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Pionnier</w:t>
            </w:r>
          </w:p>
        </w:tc>
        <w:tc>
          <w:tcPr>
            <w:tcW w:type="dxa" w:w="6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Des initiatives existent. L’enjeu est de les relier dans un programme cohérent, de professionnaliser les pratiques et de mesurer les premiers impacts.</w:t>
            </w:r>
          </w:p>
        </w:tc>
      </w:tr>
      <w:tr>
        <w:trPr>
          <w:cantSplit/>
        </w:trPr>
        <w:tc>
          <w:tcPr>
            <w:tcW w:type="dxa" w:w="12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15 à 19</w:t>
            </w:r>
          </w:p>
        </w:tc>
        <w:tc>
          <w:tcPr>
            <w:tcW w:type="dxa" w:w="19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Accélérateur</w:t>
            </w:r>
          </w:p>
        </w:tc>
        <w:tc>
          <w:tcPr>
            <w:tcW w:type="dxa" w:w="6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La dynamique est réelle. Il faut industrialiser les usages métiers, intégrer les agents, fiabiliser les données et renforcer le pilotage de la valeur.</w:t>
            </w:r>
          </w:p>
        </w:tc>
      </w:tr>
      <w:tr>
        <w:trPr>
          <w:cantSplit/>
        </w:trPr>
        <w:tc>
          <w:tcPr>
            <w:tcW w:type="dxa" w:w="12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20 à 24</w:t>
            </w:r>
          </w:p>
        </w:tc>
        <w:tc>
          <w:tcPr>
            <w:tcW w:type="dxa" w:w="19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Transformateur</w:t>
            </w:r>
          </w:p>
        </w:tc>
        <w:tc>
          <w:tcPr>
            <w:tcW w:type="dxa" w:w="6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Les bases sont solides. L’enjeu devient la réinvention coordonnée des processus, des offres et du modèle opérationnel à l’ère des agents.</w:t>
            </w:r>
          </w:p>
        </w:tc>
      </w:tr>
    </w:tbl>
    <w:p>
      <w:pPr>
        <w:spacing w:after="120"/>
      </w:pPr>
    </w:p>
    <w:p>
      <w:pPr>
        <w:spacing w:after="40" w:before="0" w:line="276" w:lineRule="auto"/>
      </w:pPr>
      <w:r>
        <w:rPr>
          <w:rFonts w:ascii="Arial" w:cs="Arial" w:eastAsia="Arial" w:hAnsi="Arial"/>
          <w:b/>
          <w:bCs/>
        </w:rPr>
        <w:t xml:space="preserve">Total obtenu et profil global :</w:t>
      </w:r>
    </w:p>
    <w:p>
      <w:pPr>
        <w:pBdr>
          <w:bottom w:val="single" w:color="CBD5E1" w:sz="4" w:space="1"/>
        </w:pBdr>
        <w:spacing w:after="160"/>
      </w:pPr>
      <w:r>
        <w:rPr>
          <w:rFonts w:ascii="Arial" w:cs="Arial" w:eastAsia="Arial" w:hAnsi="Arial"/>
        </w:rPr>
        <w:t xml:space="preserve"> </w:t>
      </w:r>
    </w:p>
    <w:p>
      <w:pPr>
        <w:pStyle w:val="Heading2"/>
        <w:spacing w:after="120" w:before="300"/>
      </w:pPr>
      <w:r>
        <w:rPr>
          <w:rFonts w:ascii="Arial" w:cs="Arial" w:eastAsia="Arial" w:hAnsi="Arial"/>
        </w:rPr>
        <w:t xml:space="preserve">Étape 3 : repérer le plancher et le point d’appui</w:t>
      </w:r>
    </w:p>
    <w:p>
      <w:pPr>
        <w:spacing w:after="120" w:before="0" w:line="276" w:lineRule="auto"/>
      </w:pPr>
      <w:r>
        <w:rPr>
          <w:rFonts w:ascii="Arial" w:cs="Arial" w:eastAsia="Arial" w:hAnsi="Arial"/>
          <w:b/>
          <w:bCs/>
        </w:rPr>
        <w:t xml:space="preserve">La dimension plancher </w:t>
      </w:r>
      <w:r>
        <w:rPr>
          <w:rFonts w:ascii="Arial" w:cs="Arial" w:eastAsia="Arial" w:hAnsi="Arial"/>
        </w:rPr>
        <w:t xml:space="preserve">est celle qui a la note la plus basse. Si deux dimensions sont à égalité, retenez celle qui expose le plus l’organisation : Gouvernance et risques, puis Données et outils, puis Stratégie et pilotage. C’est le premier chantier à décider, presque sans exception.</w:t>
      </w:r>
    </w:p>
    <w:p>
      <w:pPr>
        <w:spacing w:after="120" w:before="0" w:line="276" w:lineRule="auto"/>
      </w:pPr>
      <w:r>
        <w:rPr>
          <w:rFonts w:ascii="Arial" w:cs="Arial" w:eastAsia="Arial" w:hAnsi="Arial"/>
          <w:b/>
          <w:bCs/>
        </w:rPr>
        <w:t xml:space="preserve">Le point d’appui </w:t>
      </w:r>
      <w:r>
        <w:rPr>
          <w:rFonts w:ascii="Arial" w:cs="Arial" w:eastAsia="Arial" w:hAnsi="Arial"/>
        </w:rPr>
        <w:t xml:space="preserve">est la dimension la mieux notée. Il ne s’agit pas de s’en féliciter mais de s’en servir : les relais, les cas d’usage ou la gouvernance déjà en place sont les leviers du chantier plancher.</w:t>
      </w:r>
    </w:p>
    <w:p>
      <w:pPr>
        <w:spacing w:after="120" w:before="0" w:line="276" w:lineRule="auto"/>
      </w:pPr>
      <w:r>
        <w:rPr>
          <w:rFonts w:ascii="Arial" w:cs="Arial" w:eastAsia="Arial" w:hAnsi="Arial"/>
          <w:b/>
          <w:bCs/>
        </w:rPr>
        <w:t xml:space="preserve">L’écart </w:t>
      </w:r>
      <w:r>
        <w:rPr>
          <w:rFonts w:ascii="Arial" w:cs="Arial" w:eastAsia="Arial" w:hAnsi="Arial"/>
        </w:rPr>
        <w:t xml:space="preserve">entre le point d’appui et le plancher dit la stabilité de l’ensemble. Un écart de 2 ou plus signale un déséquilibre à traiter avant d’étendre quoi que ce soit (voir la lecture des profils, section 5).</w:t>
      </w:r>
    </w:p>
    <w:p>
      <w:pPr>
        <w:spacing w:after="40" w:before="0" w:line="276" w:lineRule="auto"/>
      </w:pPr>
      <w:r>
        <w:rPr>
          <w:rFonts w:ascii="Arial" w:cs="Arial" w:eastAsia="Arial" w:hAnsi="Arial"/>
          <w:b/>
          <w:bCs/>
        </w:rPr>
        <w:t xml:space="preserve">Dimension plancher :</w:t>
      </w:r>
    </w:p>
    <w:p>
      <w:pPr>
        <w:pBdr>
          <w:bottom w:val="single" w:color="CBD5E1" w:sz="4" w:space="1"/>
        </w:pBdr>
        <w:spacing w:after="160"/>
      </w:pPr>
      <w:r>
        <w:rPr>
          <w:rFonts w:ascii="Arial" w:cs="Arial" w:eastAsia="Arial" w:hAnsi="Arial"/>
        </w:rPr>
        <w:t xml:space="preserve"> </w:t>
      </w:r>
    </w:p>
    <w:p>
      <w:pPr>
        <w:spacing w:after="40" w:before="0" w:line="276" w:lineRule="auto"/>
      </w:pPr>
      <w:r>
        <w:rPr>
          <w:rFonts w:ascii="Arial" w:cs="Arial" w:eastAsia="Arial" w:hAnsi="Arial"/>
          <w:b/>
          <w:bCs/>
        </w:rPr>
        <w:t xml:space="preserve">Point d’appui :</w:t>
      </w:r>
    </w:p>
    <w:p>
      <w:pPr>
        <w:pBdr>
          <w:bottom w:val="single" w:color="CBD5E1" w:sz="4" w:space="1"/>
        </w:pBdr>
        <w:spacing w:after="160"/>
      </w:pPr>
      <w:r>
        <w:rPr>
          <w:rFonts w:ascii="Arial" w:cs="Arial" w:eastAsia="Arial" w:hAnsi="Arial"/>
        </w:rPr>
        <w:t xml:space="preserve"> </w:t>
      </w:r>
    </w:p>
    <w:p>
      <w:pPr>
        <w:spacing w:after="40" w:before="0" w:line="276" w:lineRule="auto"/>
      </w:pPr>
      <w:r>
        <w:rPr>
          <w:rFonts w:ascii="Arial" w:cs="Arial" w:eastAsia="Arial" w:hAnsi="Arial"/>
          <w:b/>
          <w:bCs/>
        </w:rPr>
        <w:t xml:space="preserve">Écart :</w:t>
      </w:r>
    </w:p>
    <w:p>
      <w:pPr>
        <w:pBdr>
          <w:bottom w:val="single" w:color="CBD5E1" w:sz="4" w:space="1"/>
        </w:pBdr>
        <w:spacing w:after="160"/>
      </w:pPr>
      <w:r>
        <w:rPr>
          <w:rFonts w:ascii="Arial" w:cs="Arial" w:eastAsia="Arial" w:hAnsi="Arial"/>
        </w:rPr>
        <w:t xml:space="preserve"> </w:t>
      </w:r>
    </w:p>
    <w:p>
      <w:pPr>
        <w:pStyle w:val="Heading2"/>
        <w:spacing w:after="120" w:before="300"/>
      </w:pPr>
      <w:r>
        <w:rPr>
          <w:rFonts w:ascii="Arial" w:cs="Arial" w:eastAsia="Arial" w:hAnsi="Arial"/>
        </w:rPr>
        <w:t xml:space="preserve">Étape 4 : dessiner le radar</w:t>
      </w:r>
    </w:p>
    <w:p>
      <w:pPr>
        <w:spacing w:after="120" w:before="0" w:line="276" w:lineRule="auto"/>
      </w:pPr>
      <w:r>
        <w:rPr>
          <w:rFonts w:ascii="Arial" w:cs="Arial" w:eastAsia="Arial" w:hAnsi="Arial"/>
        </w:rPr>
        <w:t xml:space="preserve">Reportez chaque niveau sur l’axe correspondant, puis reliez les six points. La forme parle d’elle-même : un hexagone régulier et petit, une étoile déséquilibrée, une forme large et régulière. Gardez le dessin : c’est lui que vous comparerez au prochain semestre.</w:t>
      </w:r>
    </w:p>
    <w:p>
      <w:pPr>
        <w:spacing w:after="200"/>
        <w:jc w:val="center"/>
      </w:pPr>
      <w:r>
        <w:drawing>
          <wp:inline distT="0" distB="0" distL="0" distR="0">
            <wp:extent cx="4381500" cy="381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381500" cy="3810000"/>
                    </a:xfrm>
                    <a:prstGeom prst="rect">
                      <a:avLst/>
                    </a:prstGeom>
                  </pic:spPr>
                </pic:pic>
              </a:graphicData>
            </a:graphic>
          </wp:inline>
        </w:drawing>
      </w:r>
    </w:p>
    <w:p>
      <w:pPr>
        <w:spacing w:after="120" w:before="0" w:line="276" w:lineRule="auto"/>
      </w:pPr>
      <w:r>
        <w:rPr>
          <w:rFonts w:ascii="Arial" w:cs="Arial" w:eastAsia="Arial" w:hAnsi="Arial"/>
          <w:color w:val="475569"/>
          <w:sz w:val="18"/>
          <w:szCs w:val="18"/>
        </w:rPr>
        <w:t xml:space="preserve">Lecture rapide : le niveau 1 est le cercle intérieur, le niveau 4 le cercle extérieur.</w:t>
      </w:r>
    </w:p>
    <w:p>
      <w:r>
        <w:br w:type="page"/>
      </w:r>
    </w:p>
    <w:p>
      <w:pPr>
        <w:pStyle w:val="Heading1"/>
        <w:spacing w:after="200" w:before="0"/>
      </w:pPr>
      <w:r>
        <w:rPr>
          <w:rFonts w:ascii="Arial" w:cs="Arial" w:eastAsia="Arial" w:hAnsi="Arial"/>
        </w:rPr>
        <w:t xml:space="preserve">4. L’atelier de 90 minutes</w:t>
      </w:r>
    </w:p>
    <w:p>
      <w:pPr>
        <w:spacing w:after="200" w:before="0" w:line="276" w:lineRule="auto"/>
      </w:pPr>
      <w:r>
        <w:rPr>
          <w:rFonts w:ascii="Arial" w:cs="Arial" w:eastAsia="Arial" w:hAnsi="Arial"/>
          <w:color w:val="475569"/>
          <w:sz w:val="24"/>
          <w:szCs w:val="24"/>
        </w:rPr>
        <w:t xml:space="preserve">La grille remplie seul donne une opinion. Remplie à plusieurs, avec des preuves sur la table, elle donne un constat. Voici comment conduire la séance.</w:t>
      </w:r>
    </w:p>
    <w:p>
      <w:pPr>
        <w:pStyle w:val="Heading2"/>
        <w:spacing w:after="120" w:before="300"/>
      </w:pPr>
      <w:r>
        <w:rPr>
          <w:rFonts w:ascii="Arial" w:cs="Arial" w:eastAsia="Arial" w:hAnsi="Arial"/>
        </w:rPr>
        <w:t xml:space="preserve">Qui réunir</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3200"/>
        <w:gridCol w:w="6438"/>
      </w:tblGrid>
      <w:tr>
        <w:trPr>
          <w:cantSplit/>
          <w:tblHeader/>
        </w:trPr>
        <w:tc>
          <w:tcPr>
            <w:tcW w:type="dxa" w:w="32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Participant</w:t>
            </w:r>
          </w:p>
        </w:tc>
        <w:tc>
          <w:tcPr>
            <w:tcW w:type="dxa" w:w="64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Pourquoi sa présence est nécessaire</w:t>
            </w:r>
          </w:p>
        </w:tc>
      </w:tr>
      <w:tr>
        <w:trPr>
          <w:cantSplit/>
        </w:trPr>
        <w:tc>
          <w:tcPr>
            <w:tcW w:type="dxa" w:w="32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Le sponsor (membre de la direction)</w:t>
            </w:r>
          </w:p>
        </w:tc>
        <w:tc>
          <w:tcPr>
            <w:tcW w:type="dxa" w:w="64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Sans lui, la séance produit un diagnostic que personne n’arbitrera. Il tranche les désaccords sur les niveaux et porte les deux chantiers décidés.</w:t>
            </w:r>
          </w:p>
        </w:tc>
      </w:tr>
      <w:tr>
        <w:trPr>
          <w:cantSplit/>
        </w:trPr>
        <w:tc>
          <w:tcPr>
            <w:tcW w:type="dxa" w:w="32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Le responsable formation ou le DRH</w:t>
            </w:r>
          </w:p>
        </w:tc>
        <w:tc>
          <w:tcPr>
            <w:tcW w:type="dxa" w:w="64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Il connaît l’état réel des compétences, des parcours et des relais. Il portera le volet formation des chantiers.</w:t>
            </w:r>
          </w:p>
        </w:tc>
      </w:tr>
      <w:tr>
        <w:trPr>
          <w:cantSplit/>
        </w:trPr>
        <w:tc>
          <w:tcPr>
            <w:tcW w:type="dxa" w:w="32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Un représentant de la DSI</w:t>
            </w:r>
          </w:p>
        </w:tc>
        <w:tc>
          <w:tcPr>
            <w:tcW w:type="dxa" w:w="64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Il sait ce qui est réellement déployé, sécurisé et intégré, à la différence de ce qui est annoncé.</w:t>
            </w:r>
          </w:p>
        </w:tc>
      </w:tr>
      <w:tr>
        <w:trPr>
          <w:cantSplit/>
        </w:trPr>
        <w:tc>
          <w:tcPr>
            <w:tcW w:type="dxa" w:w="32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Un ou deux responsables métiers</w:t>
            </w:r>
          </w:p>
        </w:tc>
        <w:tc>
          <w:tcPr>
            <w:tcW w:type="dxa" w:w="64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Ils apportent les cas d’usage réels et les preuves d’impact, ou leur absence.</w:t>
            </w:r>
          </w:p>
        </w:tc>
      </w:tr>
      <w:tr>
        <w:trPr>
          <w:cantSplit/>
        </w:trPr>
        <w:tc>
          <w:tcPr>
            <w:tcW w:type="dxa" w:w="32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Le juridique ou la conformité</w:t>
            </w:r>
          </w:p>
        </w:tc>
        <w:tc>
          <w:tcPr>
            <w:tcW w:type="dxa" w:w="64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Il sait ce que la charte couvre et ce qu’elle ne couvre pas, et où en est le cadre AI Act et RGPD.</w:t>
            </w:r>
          </w:p>
        </w:tc>
      </w:tr>
      <w:tr>
        <w:trPr>
          <w:cantSplit/>
        </w:trPr>
        <w:tc>
          <w:tcPr>
            <w:tcW w:type="dxa" w:w="32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Un animateur</w:t>
            </w:r>
          </w:p>
        </w:tc>
        <w:tc>
          <w:tcPr>
            <w:tcW w:type="dxa" w:w="64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Distinct du sponsor. Il tient le temps, fait respecter la règle de la preuve et note. Ce peut être le référent IA ou un intervenant extérieur.</w:t>
            </w:r>
          </w:p>
        </w:tc>
      </w:tr>
    </w:tbl>
    <w:p>
      <w:pPr>
        <w:spacing w:after="120"/>
      </w:pPr>
    </w:p>
    <w:p>
      <w:pPr>
        <w:spacing w:after="120" w:before="0" w:line="276" w:lineRule="auto"/>
      </w:pPr>
      <w:r>
        <w:rPr>
          <w:rFonts w:ascii="Arial" w:cs="Arial" w:eastAsia="Arial" w:hAnsi="Arial"/>
          <w:color w:val="475569"/>
          <w:sz w:val="18"/>
          <w:szCs w:val="18"/>
        </w:rPr>
        <w:t xml:space="preserve">Six à huit personnes. Au-delà, la séance dérive en présentation ; en deçà, il manque des preuves.</w:t>
      </w:r>
    </w:p>
    <w:p>
      <w:pPr>
        <w:pStyle w:val="Heading2"/>
        <w:spacing w:after="120" w:before="300"/>
      </w:pPr>
      <w:r>
        <w:rPr>
          <w:rFonts w:ascii="Arial" w:cs="Arial" w:eastAsia="Arial" w:hAnsi="Arial"/>
        </w:rPr>
        <w:t xml:space="preserve">Avant la séance</w:t>
      </w:r>
    </w:p>
    <w:p>
      <w:pPr>
        <w:pStyle w:val="ListParagraph"/>
        <w:numPr>
          <w:ilvl w:val="0"/>
          <w:numId w:val="3"/>
        </w:numPr>
        <w:spacing w:after="60" w:line="276"/>
      </w:pPr>
      <w:r>
        <w:rPr>
          <w:rFonts w:ascii="Arial" w:cs="Arial" w:eastAsia="Arial" w:hAnsi="Arial"/>
        </w:rPr>
        <w:t xml:space="preserve">Chaque participant reçoit la grille (section 2) et la feuille de notation individuelle (annexe A) une semaine avant, et la remplit seul en 20 minutes.</w:t>
      </w:r>
    </w:p>
    <w:p>
      <w:pPr>
        <w:pStyle w:val="ListParagraph"/>
        <w:numPr>
          <w:ilvl w:val="0"/>
          <w:numId w:val="3"/>
        </w:numPr>
        <w:spacing w:after="60" w:line="276"/>
      </w:pPr>
      <w:r>
        <w:rPr>
          <w:rFonts w:ascii="Arial" w:cs="Arial" w:eastAsia="Arial" w:hAnsi="Arial"/>
        </w:rPr>
        <w:t xml:space="preserve">Chaque participant apporte les preuves de son périmètre listées dans les encadrés « Preuves à demander ».</w:t>
      </w:r>
    </w:p>
    <w:p>
      <w:pPr>
        <w:pStyle w:val="ListParagraph"/>
        <w:numPr>
          <w:ilvl w:val="0"/>
          <w:numId w:val="3"/>
        </w:numPr>
        <w:spacing w:after="60" w:line="276"/>
      </w:pPr>
      <w:r>
        <w:rPr>
          <w:rFonts w:ascii="Arial" w:cs="Arial" w:eastAsia="Arial" w:hAnsi="Arial"/>
        </w:rPr>
        <w:t xml:space="preserve">L’animateur collecte les feuilles individuelles la veille et prépare le tableau des écarts : pour chaque dimension, la note la plus basse, la plus haute et la médiane.</w:t>
      </w:r>
    </w:p>
    <w:p>
      <w:pPr>
        <w:pStyle w:val="Heading2"/>
        <w:spacing w:after="120" w:before="300"/>
      </w:pPr>
      <w:r>
        <w:rPr>
          <w:rFonts w:ascii="Arial" w:cs="Arial" w:eastAsia="Arial" w:hAnsi="Arial"/>
        </w:rPr>
        <w:t xml:space="preserve">Déroulé</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1500"/>
        <w:gridCol w:w="2400"/>
        <w:gridCol w:w="5738"/>
      </w:tblGrid>
      <w:tr>
        <w:trPr>
          <w:cantSplit/>
          <w:tblHeader/>
        </w:trPr>
        <w:tc>
          <w:tcPr>
            <w:tcW w:type="dxa" w:w="15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Temps</w:t>
            </w:r>
          </w:p>
        </w:tc>
        <w:tc>
          <w:tcPr>
            <w:tcW w:type="dxa" w:w="24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Séquence</w:t>
            </w:r>
          </w:p>
        </w:tc>
        <w:tc>
          <w:tcPr>
            <w:tcW w:type="dxa" w:w="57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Ce qui se passe</w:t>
            </w:r>
          </w:p>
        </w:tc>
      </w:tr>
      <w:tr>
        <w:trPr>
          <w:cantSplit/>
        </w:trPr>
        <w:tc>
          <w:tcPr>
            <w:tcW w:type="dxa" w:w="1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0 à 10 min</w:t>
            </w:r>
          </w:p>
        </w:tc>
        <w:tc>
          <w:tcPr>
            <w:tcW w:type="dxa" w:w="2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Cadrage</w:t>
            </w:r>
          </w:p>
        </w:tc>
        <w:tc>
          <w:tcPr>
            <w:tcW w:type="dxa" w:w="5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 sponsor rappelle pourquoi ce constat est nécessaire maintenant et ce qu’il en fera. L’animateur énonce les trois règles (ci-dessous) et affiche le tableau des écarts.</w:t>
            </w:r>
          </w:p>
        </w:tc>
      </w:tr>
      <w:tr>
        <w:trPr>
          <w:cantSplit/>
        </w:trPr>
        <w:tc>
          <w:tcPr>
            <w:tcW w:type="dxa" w:w="1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10 à 60 min</w:t>
            </w:r>
          </w:p>
        </w:tc>
        <w:tc>
          <w:tcPr>
            <w:tcW w:type="dxa" w:w="2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Les six dimensions, environ 8 minutes chacune</w:t>
            </w:r>
          </w:p>
        </w:tc>
        <w:tc>
          <w:tcPr>
            <w:tcW w:type="dxa" w:w="5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Pour chaque dimension : l’animateur annonce l’écart entre les notes individuelles ; les participants qui ont noté le plus haut et le plus bas s’expliquent, preuves à l’appui ; le groupe vérifie les descripteurs du niveau envisagé un par un ; le sponsor tranche si le désaccord persiste. La note et sa preuve sont inscrites sur la feuille de notation.</w:t>
            </w:r>
          </w:p>
        </w:tc>
      </w:tr>
      <w:tr>
        <w:trPr>
          <w:cantSplit/>
        </w:trPr>
        <w:tc>
          <w:tcPr>
            <w:tcW w:type="dxa" w:w="1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60 à 70 min</w:t>
            </w:r>
          </w:p>
        </w:tc>
        <w:tc>
          <w:tcPr>
            <w:tcW w:type="dxa" w:w="2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Lecture du profil</w:t>
            </w:r>
          </w:p>
        </w:tc>
        <w:tc>
          <w:tcPr>
            <w:tcW w:type="dxa" w:w="5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L’animateur calcule le total, nomme le profil global, le plancher et le point d’appui, puis dessine le radar. Le groupe compare avec les profils types de la section 5.</w:t>
            </w:r>
          </w:p>
        </w:tc>
      </w:tr>
      <w:tr>
        <w:trPr>
          <w:cantSplit/>
        </w:trPr>
        <w:tc>
          <w:tcPr>
            <w:tcW w:type="dxa" w:w="1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70 à 85 min</w:t>
            </w:r>
          </w:p>
        </w:tc>
        <w:tc>
          <w:tcPr>
            <w:tcW w:type="dxa" w:w="2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Deux chantiers pour 90 jours</w:t>
            </w:r>
          </w:p>
        </w:tc>
        <w:tc>
          <w:tcPr>
            <w:tcW w:type="dxa" w:w="5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 premier chantier relève le plancher. Le second est choisi parmi les « premiers descripteurs manquants » les plus proches, ou dans la dimension que le frein principal désigne. Pour chaque chantier : un responsable, une échéance, un signal de réussite observable (section 6).</w:t>
            </w:r>
          </w:p>
        </w:tc>
      </w:tr>
      <w:tr>
        <w:trPr>
          <w:cantSplit/>
        </w:trPr>
        <w:tc>
          <w:tcPr>
            <w:tcW w:type="dxa" w:w="1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85 à 90 min</w:t>
            </w:r>
          </w:p>
        </w:tc>
        <w:tc>
          <w:tcPr>
            <w:tcW w:type="dxa" w:w="2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Clôture</w:t>
            </w:r>
          </w:p>
        </w:tc>
        <w:tc>
          <w:tcPr>
            <w:tcW w:type="dxa" w:w="5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 sponsor reformule les deux décisions. L’animateur fixe la date de la revue à 90 jours et celle de la prochaine notation, six mois plus tard.</w:t>
            </w:r>
          </w:p>
        </w:tc>
      </w:tr>
    </w:tbl>
    <w:p>
      <w:pPr>
        <w:spacing w:after="160"/>
      </w:pPr>
    </w:p>
    <w:p>
      <w:pPr>
        <w:pStyle w:val="Heading2"/>
        <w:spacing w:after="120" w:before="300"/>
      </w:pPr>
      <w:r>
        <w:rPr>
          <w:rFonts w:ascii="Arial" w:cs="Arial" w:eastAsia="Arial" w:hAnsi="Arial"/>
        </w:rPr>
        <w:t xml:space="preserve">Les trois règles d’animation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8A80" w:sz="4"/>
              <w:left w:val="single" w:color="178A80" w:sz="24"/>
              <w:bottom w:val="single" w:color="178A80" w:sz="4"/>
              <w:right w:val="single" w:color="178A80" w:sz="4"/>
            </w:tcBorders>
            <w:shd w:fill="E6F4F2" w:color="auto" w:val="clear"/>
            <w:tcMar>
              <w:top w:type="dxa" w:w="140"/>
              <w:left w:type="dxa" w:w="200"/>
              <w:bottom w:type="dxa" w:w="140"/>
              <w:right w:type="dxa" w:w="200"/>
            </w:tcMar>
          </w:tcPr>
          <w:p>
            <w:pPr>
              <w:spacing w:after="80" w:before="0" w:line="276" w:lineRule="auto"/>
            </w:pPr>
            <w:r>
              <w:rPr>
                <w:rFonts w:ascii="Arial" w:cs="Arial" w:eastAsia="Arial" w:hAnsi="Arial"/>
                <w:b/>
                <w:bCs/>
              </w:rPr>
              <w:t xml:space="preserve">1. On note l’organisation telle qu’elle est, pas telle qu’on la souhaite. </w:t>
            </w:r>
            <w:r>
              <w:rPr>
                <w:rFonts w:ascii="Arial" w:cs="Arial" w:eastAsia="Arial" w:hAnsi="Arial"/>
              </w:rPr>
              <w:t xml:space="preserve">Un projet lancé, un budget voté, un outil commandé ne comptent pas. Seul compte ce que l’on peut constater aujourd’hui.</w:t>
            </w:r>
          </w:p>
          <w:p>
            <w:pPr>
              <w:spacing w:after="80" w:before="0" w:line="276" w:lineRule="auto"/>
            </w:pPr>
            <w:r>
              <w:rPr>
                <w:rFonts w:ascii="Arial" w:cs="Arial" w:eastAsia="Arial" w:hAnsi="Arial"/>
                <w:b/>
                <w:bCs/>
              </w:rPr>
              <w:t xml:space="preserve">2. Une note se justifie par une preuve. </w:t>
            </w:r>
            <w:r>
              <w:rPr>
                <w:rFonts w:ascii="Arial" w:cs="Arial" w:eastAsia="Arial" w:hAnsi="Arial"/>
              </w:rPr>
              <w:t xml:space="preserve">Un chiffre, un document, un exemple daté. Sans preuve, la note est provisoire et l’animateur l’indique comme telle.</w:t>
            </w:r>
          </w:p>
          <w:p>
            <w:pPr>
              <w:spacing w:after="0" w:before="0" w:line="276" w:lineRule="auto"/>
            </w:pPr>
            <w:r>
              <w:rPr>
                <w:rFonts w:ascii="Arial" w:cs="Arial" w:eastAsia="Arial" w:hAnsi="Arial"/>
                <w:b/>
                <w:bCs/>
              </w:rPr>
              <w:t xml:space="preserve">3. En cas de désaccord persistant, la note basse l’emporte. </w:t>
            </w:r>
            <w:r>
              <w:rPr>
                <w:rFonts w:ascii="Arial" w:cs="Arial" w:eastAsia="Arial" w:hAnsi="Arial"/>
              </w:rPr>
              <w:t xml:space="preserve">Sauf si une preuve apportée en séance établit le contraire. Une organisation qui se surestime décide mal ; une organisation qui se sous-estime d’un cran perd peu.</w:t>
            </w:r>
          </w:p>
        </w:tc>
      </w:tr>
    </w:tbl>
    <w:p>
      <w:pPr>
        <w:spacing w:after="160"/>
      </w:pPr>
    </w:p>
    <w:p>
      <w:pPr>
        <w:pStyle w:val="Heading2"/>
        <w:spacing w:after="120" w:before="300"/>
      </w:pPr>
      <w:r>
        <w:rPr>
          <w:rFonts w:ascii="Arial" w:cs="Arial" w:eastAsia="Arial" w:hAnsi="Arial"/>
        </w:rPr>
        <w:t xml:space="preserve">Les pièges habituels</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2000"/>
        <w:gridCol w:w="3400"/>
        <w:gridCol w:w="4238"/>
      </w:tblGrid>
      <w:tr>
        <w:trPr>
          <w:cantSplit/>
          <w:tblHeader/>
        </w:trPr>
        <w:tc>
          <w:tcPr>
            <w:tcW w:type="dxa" w:w="20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Piège</w:t>
            </w:r>
          </w:p>
        </w:tc>
        <w:tc>
          <w:tcPr>
            <w:tcW w:type="dxa" w:w="34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Ce qui se passe</w:t>
            </w:r>
          </w:p>
        </w:tc>
        <w:tc>
          <w:tcPr>
            <w:tcW w:type="dxa" w:w="42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Parade</w:t>
            </w:r>
          </w:p>
        </w:tc>
      </w:tr>
      <w:tr>
        <w:trPr>
          <w:cantSplit/>
        </w:trPr>
        <w:tc>
          <w:tcPr>
            <w:tcW w:type="dxa" w:w="20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La note du pionnier</w:t>
            </w:r>
          </w:p>
        </w:tc>
        <w:tc>
          <w:tcPr>
            <w:tcW w:type="dxa" w:w="3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 métier le plus avancé note l’organisation à son propre niveau.</w:t>
            </w:r>
          </w:p>
        </w:tc>
        <w:tc>
          <w:tcPr>
            <w:tcW w:type="dxa" w:w="42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Rappeler que la grille note l’organisation entière : « sur une partie du périmètre » est explicitement un niveau 3, pas un niveau 4.</w:t>
            </w:r>
          </w:p>
        </w:tc>
      </w:tr>
      <w:tr>
        <w:trPr>
          <w:cantSplit/>
        </w:trPr>
        <w:tc>
          <w:tcPr>
            <w:tcW w:type="dxa" w:w="20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La note du prescripteur</w:t>
            </w:r>
          </w:p>
        </w:tc>
        <w:tc>
          <w:tcPr>
            <w:tcW w:type="dxa" w:w="3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 sponsor, qui a porté le programme, défend le niveau qu’il a promis.</w:t>
            </w:r>
          </w:p>
        </w:tc>
        <w:tc>
          <w:tcPr>
            <w:tcW w:type="dxa" w:w="42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Faire noter le sponsor en dernier sur chaque dimension.</w:t>
            </w:r>
          </w:p>
        </w:tc>
      </w:tr>
      <w:tr>
        <w:trPr>
          <w:cantSplit/>
        </w:trPr>
        <w:tc>
          <w:tcPr>
            <w:tcW w:type="dxa" w:w="20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Le débat sur les mots</w:t>
            </w:r>
          </w:p>
        </w:tc>
        <w:tc>
          <w:tcPr>
            <w:tcW w:type="dxa" w:w="3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 groupe discute vingt minutes de ce que veut dire « en routine ».</w:t>
            </w:r>
          </w:p>
        </w:tc>
        <w:tc>
          <w:tcPr>
            <w:tcW w:type="dxa" w:w="42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Utiliser la question de vérification de la dimension, puis trancher.</w:t>
            </w:r>
          </w:p>
        </w:tc>
      </w:tr>
      <w:tr>
        <w:trPr>
          <w:cantSplit/>
        </w:trPr>
        <w:tc>
          <w:tcPr>
            <w:tcW w:type="dxa" w:w="20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La liste de courses</w:t>
            </w:r>
          </w:p>
        </w:tc>
        <w:tc>
          <w:tcPr>
            <w:tcW w:type="dxa" w:w="3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La séance se termine avec huit chantiers.</w:t>
            </w:r>
          </w:p>
        </w:tc>
        <w:tc>
          <w:tcPr>
            <w:tcW w:type="dxa" w:w="42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Deux chantiers, un responsable chacun, une revue à 90 jours. Le reste est noté pour la notation suivante.</w:t>
            </w:r>
          </w:p>
        </w:tc>
      </w:tr>
      <w:tr>
        <w:trPr>
          <w:cantSplit/>
        </w:trPr>
        <w:tc>
          <w:tcPr>
            <w:tcW w:type="dxa" w:w="20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Le radar plat</w:t>
            </w:r>
          </w:p>
        </w:tc>
        <w:tc>
          <w:tcPr>
            <w:tcW w:type="dxa" w:w="3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Toutes les dimensions sont notées 2 par prudence.</w:t>
            </w:r>
          </w:p>
        </w:tc>
        <w:tc>
          <w:tcPr>
            <w:tcW w:type="dxa" w:w="42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Vérifier les descripteurs un à un : le niveau 2 aussi doit être prouvé.</w:t>
            </w:r>
          </w:p>
        </w:tc>
      </w:tr>
    </w:tbl>
    <w:p>
      <w:r>
        <w:br w:type="page"/>
      </w:r>
    </w:p>
    <w:p>
      <w:pPr>
        <w:pStyle w:val="Heading1"/>
        <w:spacing w:after="200" w:before="0"/>
      </w:pPr>
      <w:r>
        <w:rPr>
          <w:rFonts w:ascii="Arial" w:cs="Arial" w:eastAsia="Arial" w:hAnsi="Arial"/>
        </w:rPr>
        <w:t xml:space="preserve">5. Lire le profil</w:t>
      </w:r>
    </w:p>
    <w:p>
      <w:pPr>
        <w:spacing w:after="200" w:before="0" w:line="276" w:lineRule="auto"/>
      </w:pPr>
      <w:r>
        <w:rPr>
          <w:rFonts w:ascii="Arial" w:cs="Arial" w:eastAsia="Arial" w:hAnsi="Arial"/>
          <w:color w:val="475569"/>
          <w:sz w:val="24"/>
          <w:szCs w:val="24"/>
        </w:rPr>
        <w:t xml:space="preserve">Au fil de nos accompagnements, les mêmes formes reviennent. Chacune porte un risque précis et appelle une lecture précise. Retrouvez la vôtre.</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1500"/>
        <w:gridCol w:w="1700"/>
        <w:gridCol w:w="2200"/>
        <w:gridCol w:w="2100"/>
        <w:gridCol w:w="2138"/>
      </w:tblGrid>
      <w:tr>
        <w:trPr>
          <w:cantSplit/>
          <w:tblHeader/>
        </w:trPr>
        <w:tc>
          <w:tcPr>
            <w:tcW w:type="dxa" w:w="15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Profil</w:t>
            </w:r>
          </w:p>
        </w:tc>
        <w:tc>
          <w:tcPr>
            <w:tcW w:type="dxa" w:w="17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Forme du radar</w:t>
            </w:r>
          </w:p>
        </w:tc>
        <w:tc>
          <w:tcPr>
            <w:tcW w:type="dxa" w:w="22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Ce que cela révèle</w:t>
            </w:r>
          </w:p>
        </w:tc>
        <w:tc>
          <w:tcPr>
            <w:tcW w:type="dxa" w:w="21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Le risque</w:t>
            </w:r>
          </w:p>
        </w:tc>
        <w:tc>
          <w:tcPr>
            <w:tcW w:type="dxa" w:w="21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La lecture</w:t>
            </w:r>
          </w:p>
        </w:tc>
      </w:tr>
      <w:tr>
        <w:trPr>
          <w:cantSplit/>
        </w:trPr>
        <w:tc>
          <w:tcPr>
            <w:tcW w:type="dxa" w:w="1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8"/>
                <w:szCs w:val="18"/>
              </w:rPr>
              <w:t xml:space="preserve">L’archipel</w:t>
            </w:r>
          </w:p>
        </w:tc>
        <w:tc>
          <w:tcPr>
            <w:tcW w:type="dxa" w:w="17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Usages ≥ 3, Stratégie ≤ 2</w:t>
            </w:r>
          </w:p>
        </w:tc>
        <w:tc>
          <w:tcPr>
            <w:tcW w:type="dxa" w:w="22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Des îlots performants, sans direction commune. Chaque métier a bricolé sa solution.</w:t>
            </w:r>
          </w:p>
        </w:tc>
        <w:tc>
          <w:tcPr>
            <w:tcW w:type="dxa" w:w="21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Dispersion des outils, doublons, rivalités entre métiers, impossibilité de passer à l’échelle.</w:t>
            </w:r>
          </w:p>
        </w:tc>
        <w:tc>
          <w:tcPr>
            <w:tcW w:type="dxa" w:w="2138"/>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Relier avant d’étendre : nommer un sponsor, un responsable de programme, et faire de la bibliothèque des usages existants le premier livrable.</w:t>
            </w:r>
          </w:p>
        </w:tc>
      </w:tr>
      <w:tr>
        <w:trPr>
          <w:cantSplit/>
        </w:trPr>
        <w:tc>
          <w:tcPr>
            <w:tcW w:type="dxa" w:w="1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8"/>
                <w:szCs w:val="18"/>
              </w:rPr>
              <w:t xml:space="preserve">La forteresse</w:t>
            </w:r>
          </w:p>
        </w:tc>
        <w:tc>
          <w:tcPr>
            <w:tcW w:type="dxa" w:w="17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Gouvernance ≥ 3, Adoption ≤ 2</w:t>
            </w:r>
          </w:p>
        </w:tc>
        <w:tc>
          <w:tcPr>
            <w:tcW w:type="dxa" w:w="22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Le cadre est écrit, la charte est diffusée, et presque personne ne pratique.</w:t>
            </w:r>
          </w:p>
        </w:tc>
        <w:tc>
          <w:tcPr>
            <w:tcW w:type="dxa" w:w="21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L’IA se fait dehors : les collaborateurs utilisent leurs comptes personnels, hors de tout contrôle.</w:t>
            </w:r>
          </w:p>
        </w:tc>
        <w:tc>
          <w:tcPr>
            <w:tcW w:type="dxa" w:w="2138"/>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Ouvrir en formant : une population pilote formée et outillée en 90 jours, avec la charte enseignée plutôt qu’affichée.</w:t>
            </w:r>
          </w:p>
        </w:tc>
      </w:tr>
      <w:tr>
        <w:trPr>
          <w:cantSplit/>
        </w:trPr>
        <w:tc>
          <w:tcPr>
            <w:tcW w:type="dxa" w:w="1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8"/>
                <w:szCs w:val="18"/>
              </w:rPr>
              <w:t xml:space="preserve">Le feu de paille</w:t>
            </w:r>
          </w:p>
        </w:tc>
        <w:tc>
          <w:tcPr>
            <w:tcW w:type="dxa" w:w="17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Adoption ≥ 3, Usages ≤ 2</w:t>
            </w:r>
          </w:p>
        </w:tc>
        <w:tc>
          <w:tcPr>
            <w:tcW w:type="dxa" w:w="22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Beaucoup d’utilisateurs, peu de valeur identifiable. Les usages restent génériques.</w:t>
            </w:r>
          </w:p>
        </w:tc>
        <w:tc>
          <w:tcPr>
            <w:tcW w:type="dxa" w:w="21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Essoufflement à six mois : l’enthousiasme retombe faute de résultats à montrer.</w:t>
            </w:r>
          </w:p>
        </w:tc>
        <w:tc>
          <w:tcPr>
            <w:tcW w:type="dxa" w:w="2138"/>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Spécialiser par métier et mesurer : trois cas d’usage documentés dans deux métiers, avec un indicateur d’impact chacun.</w:t>
            </w:r>
          </w:p>
        </w:tc>
      </w:tr>
      <w:tr>
        <w:trPr>
          <w:cantSplit/>
        </w:trPr>
        <w:tc>
          <w:tcPr>
            <w:tcW w:type="dxa" w:w="1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8"/>
                <w:szCs w:val="18"/>
              </w:rPr>
              <w:t xml:space="preserve">Le laboratoire</w:t>
            </w:r>
          </w:p>
        </w:tc>
        <w:tc>
          <w:tcPr>
            <w:tcW w:type="dxa" w:w="17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Agents ≥ 3, Données ou Gouvernance ≤ 2</w:t>
            </w:r>
          </w:p>
        </w:tc>
        <w:tc>
          <w:tcPr>
            <w:tcW w:type="dxa" w:w="22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Des agents avancés sur des fondations fragiles : données mal gouvernées ou cadre d’autonomie absent.</w:t>
            </w:r>
          </w:p>
        </w:tc>
        <w:tc>
          <w:tcPr>
            <w:tcW w:type="dxa" w:w="21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L’incident : un agent agit sur des données fausses ou sans contrôle humain, et le programme entier est discrédité.</w:t>
            </w:r>
          </w:p>
        </w:tc>
        <w:tc>
          <w:tcPr>
            <w:tcW w:type="dxa" w:w="2138"/>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Consolider avant de connecter : cadre d’autonomie, journaux, procédure d’incident et fiabilisation des sources prioritaires.</w:t>
            </w:r>
          </w:p>
        </w:tc>
      </w:tr>
      <w:tr>
        <w:trPr>
          <w:cantSplit/>
        </w:trPr>
        <w:tc>
          <w:tcPr>
            <w:tcW w:type="dxa" w:w="1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8"/>
                <w:szCs w:val="18"/>
              </w:rPr>
              <w:t xml:space="preserve">La déclaration</w:t>
            </w:r>
          </w:p>
        </w:tc>
        <w:tc>
          <w:tcPr>
            <w:tcW w:type="dxa" w:w="17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Stratégie ≥ 3, tout le reste ≤ 2</w:t>
            </w:r>
          </w:p>
        </w:tc>
        <w:tc>
          <w:tcPr>
            <w:tcW w:type="dxa" w:w="22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L’ambition est portée et budgétée, l’exécution n’a pas commencé.</w:t>
            </w:r>
          </w:p>
        </w:tc>
        <w:tc>
          <w:tcPr>
            <w:tcW w:type="dxa" w:w="21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Perte de crédibilité de la direction, qui a annoncé sans livrer.</w:t>
            </w:r>
          </w:p>
        </w:tc>
        <w:tc>
          <w:tcPr>
            <w:tcW w:type="dxa" w:w="2138"/>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Un pilote visible en 90 jours : une population, un métier, un cas d’usage, un chiffre.</w:t>
            </w:r>
          </w:p>
        </w:tc>
      </w:tr>
      <w:tr>
        <w:trPr>
          <w:cantSplit/>
        </w:trPr>
        <w:tc>
          <w:tcPr>
            <w:tcW w:type="dxa" w:w="1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8"/>
                <w:szCs w:val="18"/>
              </w:rPr>
              <w:t xml:space="preserve">L’équilibre</w:t>
            </w:r>
          </w:p>
        </w:tc>
        <w:tc>
          <w:tcPr>
            <w:tcW w:type="dxa" w:w="17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Écart ≤ 1 entre toutes les dimensions</w:t>
            </w:r>
          </w:p>
        </w:tc>
        <w:tc>
          <w:tcPr>
            <w:tcW w:type="dxa" w:w="22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L’organisation progresse de façon homogène, quel que soit son niveau.</w:t>
            </w:r>
          </w:p>
        </w:tc>
        <w:tc>
          <w:tcPr>
            <w:tcW w:type="dxa" w:w="2100"/>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La lenteur : sans point d’appui marqué, aucun levier ne tire les autres.</w:t>
            </w:r>
          </w:p>
        </w:tc>
        <w:tc>
          <w:tcPr>
            <w:tcW w:type="dxa" w:w="2138"/>
            <w:tcMar>
              <w:top w:type="dxa" w:w="70"/>
              <w:left w:type="dxa" w:w="100"/>
              <w:bottom w:type="dxa" w:w="70"/>
              <w:right w:type="dxa" w:w="100"/>
            </w:tcMar>
            <w:vAlign w:val="top"/>
          </w:tcPr>
          <w:p>
            <w:pPr>
              <w:spacing w:after="40" w:before="0" w:line="276" w:lineRule="auto"/>
            </w:pPr>
            <w:r>
              <w:rPr>
                <w:rFonts w:ascii="Arial" w:cs="Arial" w:eastAsia="Arial" w:hAnsi="Arial"/>
                <w:sz w:val="18"/>
                <w:szCs w:val="18"/>
              </w:rPr>
              <w:t xml:space="preserve">Choisir un levier : concentrer les 90 jours sur la dimension la plus proche du niveau supérieur, pour créer un point d’appui.</w:t>
            </w:r>
          </w:p>
        </w:tc>
      </w:tr>
    </w:tbl>
    <w:p>
      <w:pPr>
        <w:spacing w:after="160"/>
      </w:pPr>
    </w:p>
    <w:p>
      <w:pPr>
        <w:pStyle w:val="Heading2"/>
        <w:spacing w:after="120" w:before="300"/>
      </w:pPr>
      <w:r>
        <w:rPr>
          <w:rFonts w:ascii="Arial" w:cs="Arial" w:eastAsia="Arial" w:hAnsi="Arial"/>
        </w:rPr>
        <w:t xml:space="preserve">Choisir les deux chantiers</w:t>
      </w:r>
    </w:p>
    <w:p>
      <w:pPr>
        <w:spacing w:after="120" w:before="0" w:line="276" w:lineRule="auto"/>
      </w:pPr>
      <w:r>
        <w:rPr>
          <w:rFonts w:ascii="Arial" w:cs="Arial" w:eastAsia="Arial" w:hAnsi="Arial"/>
          <w:b/>
          <w:bCs/>
        </w:rPr>
        <w:t xml:space="preserve">Premier chantier : le plancher. </w:t>
      </w:r>
      <w:r>
        <w:rPr>
          <w:rFonts w:ascii="Arial" w:cs="Arial" w:eastAsia="Arial" w:hAnsi="Arial"/>
        </w:rPr>
        <w:t xml:space="preserve">Il relève la dimension la plus basse d’un niveau, pas plus. Le tableau de la section 6 donne, pour chaque dimension et chaque transition, le chantier correspondant.</w:t>
      </w:r>
    </w:p>
    <w:p>
      <w:pPr>
        <w:spacing w:after="120" w:before="0" w:line="276" w:lineRule="auto"/>
      </w:pPr>
      <w:r>
        <w:rPr>
          <w:rFonts w:ascii="Arial" w:cs="Arial" w:eastAsia="Arial" w:hAnsi="Arial"/>
          <w:b/>
          <w:bCs/>
        </w:rPr>
        <w:t xml:space="preserve">Second chantier : le passage le plus proche. </w:t>
      </w:r>
      <w:r>
        <w:rPr>
          <w:rFonts w:ascii="Arial" w:cs="Arial" w:eastAsia="Arial" w:hAnsi="Arial"/>
        </w:rPr>
        <w:t xml:space="preserve">Parcourez la colonne « premier descripteur manquant » de la feuille de notation. La dimension où il ne manque qu’un descripteur pour changer de niveau est le second chantier : un résultat visible en 90 jours, qui entretient la dynamique.</w:t>
      </w:r>
    </w:p>
    <w:p>
      <w:pPr>
        <w:spacing w:after="120" w:before="0" w:line="276" w:lineRule="auto"/>
      </w:pPr>
      <w:r>
        <w:rPr>
          <w:rFonts w:ascii="Arial" w:cs="Arial" w:eastAsia="Arial" w:hAnsi="Arial"/>
          <w:b/>
          <w:bCs/>
        </w:rPr>
        <w:t xml:space="preserve">Si votre profil est l’un des cinq premiers ci-dessus, </w:t>
      </w:r>
      <w:r>
        <w:rPr>
          <w:rFonts w:ascii="Arial" w:cs="Arial" w:eastAsia="Arial" w:hAnsi="Arial"/>
        </w:rPr>
        <w:t xml:space="preserve">sa « lecture » remplace le second chantier : elle traite le déséquilibre, qui est plus urgent qu’un passage de niveau.</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6CAD" w:sz="4"/>
              <w:left w:val="single" w:color="176CAD" w:sz="24"/>
              <w:bottom w:val="single" w:color="176CAD" w:sz="4"/>
              <w:right w:val="single" w:color="176CAD" w:sz="4"/>
            </w:tcBorders>
            <w:shd w:fill="EAF2FA" w:color="auto" w:val="clear"/>
            <w:tcMar>
              <w:top w:type="dxa" w:w="140"/>
              <w:left w:type="dxa" w:w="200"/>
              <w:bottom w:type="dxa" w:w="140"/>
              <w:right w:type="dxa" w:w="200"/>
            </w:tcMar>
          </w:tcPr>
          <w:p>
            <w:pPr>
              <w:spacing w:after="60" w:before="0" w:line="276" w:lineRule="auto"/>
            </w:pPr>
            <w:r>
              <w:rPr>
                <w:rFonts w:ascii="Arial" w:cs="Arial" w:eastAsia="Arial" w:hAnsi="Arial"/>
                <w:b/>
                <w:bCs/>
                <w:color w:val="176CAD"/>
              </w:rPr>
              <w:t xml:space="preserve">Formulation</w:t>
            </w:r>
          </w:p>
          <w:p>
            <w:pPr>
              <w:spacing w:after="0" w:before="0" w:line="276" w:lineRule="auto"/>
            </w:pPr>
            <w:r>
              <w:rPr>
                <w:rFonts w:ascii="Arial" w:cs="Arial" w:eastAsia="Arial" w:hAnsi="Arial"/>
                <w:b/>
                <w:bCs/>
              </w:rPr>
              <w:t xml:space="preserve">Un chantier bien formulé tient en une ligne : </w:t>
            </w:r>
            <w:r>
              <w:rPr>
                <w:rFonts w:ascii="Arial" w:cs="Arial" w:eastAsia="Arial" w:hAnsi="Arial"/>
              </w:rPr>
              <w:t xml:space="preserve">un verbe, un périmètre, un responsable, une échéance, un signal observable. « Former et outiller 40 managers de la direction commerciale d’ici le 15 décembre ; signal : 30 d’entre eux ont fixé un objectif d’usage IA à leur équipe. »</w:t>
            </w:r>
          </w:p>
        </w:tc>
      </w:tr>
    </w:tbl>
    <w:p>
      <w:r>
        <w:br w:type="page"/>
      </w:r>
    </w:p>
    <w:p>
      <w:pPr>
        <w:pStyle w:val="Heading1"/>
        <w:spacing w:after="200" w:before="0"/>
      </w:pPr>
      <w:r>
        <w:rPr>
          <w:rFonts w:ascii="Arial" w:cs="Arial" w:eastAsia="Arial" w:hAnsi="Arial"/>
        </w:rPr>
        <w:t xml:space="preserve">6. Passer au niveau suivant</w:t>
      </w:r>
    </w:p>
    <w:p>
      <w:pPr>
        <w:spacing w:after="200" w:before="0" w:line="276" w:lineRule="auto"/>
      </w:pPr>
      <w:r>
        <w:rPr>
          <w:rFonts w:ascii="Arial" w:cs="Arial" w:eastAsia="Arial" w:hAnsi="Arial"/>
          <w:color w:val="475569"/>
          <w:sz w:val="24"/>
          <w:szCs w:val="24"/>
        </w:rPr>
        <w:t xml:space="preserve">Pour chaque dimension, trois transitions. À chaque fois : le chantier qui fait franchir le seuil, et le signal observable qui prouve qu’il est franchi. Un chantier à la fois par dimension ; la grille ne récompense pas les sauts de deux niveaux.</w:t>
      </w:r>
    </w:p>
    <w:p>
      <w:pPr>
        <w:pStyle w:val="Heading2"/>
        <w:spacing w:after="120" w:before="300"/>
      </w:pPr>
      <w:r>
        <w:rPr>
          <w:rFonts w:ascii="Arial" w:cs="Arial" w:eastAsia="Arial" w:hAnsi="Arial"/>
        </w:rPr>
        <w:t xml:space="preserve">Le tableau des chantiers</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1900"/>
        <w:gridCol w:w="2580"/>
        <w:gridCol w:w="2580"/>
        <w:gridCol w:w="2578"/>
      </w:tblGrid>
      <w:tr>
        <w:trPr>
          <w:cantSplit/>
          <w:tblHeader/>
        </w:trPr>
        <w:tc>
          <w:tcPr>
            <w:tcW w:type="dxa" w:w="19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Dimension</w:t>
            </w:r>
          </w:p>
        </w:tc>
        <w:tc>
          <w:tcPr>
            <w:tcW w:type="dxa" w:w="258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De 1 à 2 : Embarquer</w:t>
            </w:r>
          </w:p>
        </w:tc>
        <w:tc>
          <w:tcPr>
            <w:tcW w:type="dxa" w:w="258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De 2 à 3 : Maîtriser</w:t>
            </w:r>
          </w:p>
        </w:tc>
        <w:tc>
          <w:tcPr>
            <w:tcW w:type="dxa" w:w="257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De 3 à 4 : Déléguer et transformer</w:t>
            </w:r>
          </w:p>
        </w:tc>
      </w:tr>
      <w:tr>
        <w:trPr>
          <w:cantSplit/>
        </w:trPr>
        <w:tc>
          <w:tcPr>
            <w:tcW w:type="dxa" w:w="19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7"/>
                <w:szCs w:val="17"/>
              </w:rPr>
              <w:t xml:space="preserve">A. Adoption et compétences</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Sensibiliser largement (masterclass, démonstrations par métier) et recruter des volontaires. Signal : 10 % des collaborateurs utilisent l’IA chaque semaine et se reconnaissent comme pionniers.</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Construire un parcours structuré avec mise en pratique pour une population cible ; nommer un réseau de relais. Signal : 30 % d’usage hebdomadaire, une liste nominative de relais.</w:t>
            </w:r>
          </w:p>
        </w:tc>
        <w:tc>
          <w:tcPr>
            <w:tcW w:type="dxa" w:w="2578"/>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Décliner les parcours par niveau et par métier, mesurer la progression ; outiller et animer les ambassadeurs ; faire porter des objectifs d’usage par les managers. Signal : 60 % d’usage hebdomadaire, des objectifs d’équipe écrits.</w:t>
            </w:r>
          </w:p>
        </w:tc>
      </w:tr>
      <w:tr>
        <w:trPr>
          <w:cantSplit/>
        </w:trPr>
        <w:tc>
          <w:tcPr>
            <w:tcW w:type="dxa" w:w="19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7"/>
                <w:szCs w:val="17"/>
              </w:rPr>
              <w:t xml:space="preserve">B. Usages métiers et impact</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Identifier trois cas à valeur rapide dans un métier volontaire et les mettre en routine. Signal : un à trois cas utilisés chaque semaine par une équipe.</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Documenter les cas (fiche standard), évaluer valeur, faisabilité et risque sur deux ou trois métiers, poser un indicateur par cas. Signal : quatre cas en routine dans plusieurs métiers, chacun avec un chiffre.</w:t>
            </w:r>
          </w:p>
        </w:tc>
        <w:tc>
          <w:tcPr>
            <w:tcW w:type="dxa" w:w="2578"/>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Constituer un portefeuille arbitré, une bibliothèque partagée et un pilotage régulier du temps gagné, de la qualité et du retour sur investissement. Signal : plus de dix cas en routine, une revue de portefeuille tenue.</w:t>
            </w:r>
          </w:p>
        </w:tc>
      </w:tr>
      <w:tr>
        <w:trPr>
          <w:cantSplit/>
        </w:trPr>
        <w:tc>
          <w:tcPr>
            <w:tcW w:type="dxa" w:w="19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7"/>
                <w:szCs w:val="17"/>
              </w:rPr>
              <w:t xml:space="preserve">C. Agents et processus</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Acculturer aux agents (ce qu’ils font, ce qu’ils ne font pas) et encadrer les premiers tests individuels. Signal : une veille partagée et des tests documentés.</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Cartographier le travail délégable sur deux ou trois métiers ; lancer un pilote d’agent sur un cas réel, avec un superviseur nommé. Signal : un agent en pilote, une cartographie partielle.</w:t>
            </w:r>
          </w:p>
        </w:tc>
        <w:tc>
          <w:tcPr>
            <w:tcW w:type="dxa" w:w="2578"/>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Déployer, connecter aux outils, redessiner les processus concernés, mesurer et améliorer. Signal : des workflows humains-agents opérés avec des indicateurs et une amélioration tracée.</w:t>
            </w:r>
          </w:p>
        </w:tc>
      </w:tr>
      <w:tr>
        <w:trPr>
          <w:cantSplit/>
        </w:trPr>
        <w:tc>
          <w:tcPr>
            <w:tcW w:type="dxa" w:w="19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7"/>
                <w:szCs w:val="17"/>
              </w:rPr>
              <w:t xml:space="preserve">D. Données et outils</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Fournir un outil sécurisé à une population pilote et mettre fin aux comptes personnels sur ce périmètre. Signal : l’outil est testé, les comptes personnels reculent.</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Élargir l’environnement sécurisé, identifier les sources de connaissances prioritaires et engager leur fiabilisation, ouvrir les premières intégrations. Signal : une partie des équipes couverte, une liste de sources avec propriétaires.</w:t>
            </w:r>
          </w:p>
        </w:tc>
        <w:tc>
          <w:tcPr>
            <w:tcW w:type="dxa" w:w="2578"/>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Déployer à l’échelle avec support, gouverner les données (accès, documentation, droits), poser l’architecture cible et la supervision. Signal : un nouvel arrivant est équipé le premier jour.</w:t>
            </w:r>
          </w:p>
        </w:tc>
      </w:tr>
      <w:tr>
        <w:trPr>
          <w:cantSplit/>
        </w:trPr>
        <w:tc>
          <w:tcPr>
            <w:tcW w:type="dxa" w:w="19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7"/>
                <w:szCs w:val="17"/>
              </w:rPr>
              <w:t xml:space="preserve">E. Gouvernance et risques</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Diffuser des consignes minimales de prudence et inventorier les risques. Signal : une note de consignes diffusée, une liste de risques.</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Rédiger la charte avec le juridique, la DSI et les métiers ; poser des règles de validation sur les cas sensibles ; obtenir une visibilité sur les usages. Signal : une charte diffusée, un registre des cas analysés.</w:t>
            </w:r>
          </w:p>
        </w:tc>
        <w:tc>
          <w:tcPr>
            <w:tcW w:type="dxa" w:w="2578"/>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Rendre la charte vivante (formée, mise à jour), couvrir RGPD, AI Act, cybersécurité, traçabilité et contrôle humain ; définir niveaux d’autonomie, journaux et procédure d’incident pour les agents. Signal : un incident simulé est traité en moins d’une heure.</w:t>
            </w:r>
          </w:p>
        </w:tc>
      </w:tr>
      <w:tr>
        <w:trPr>
          <w:cantSplit/>
        </w:trPr>
        <w:tc>
          <w:tcPr>
            <w:tcW w:type="dxa" w:w="19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7"/>
                <w:szCs w:val="17"/>
              </w:rPr>
              <w:t xml:space="preserve">F. Stratégie et pilotage</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Nommer un sponsor et présenter une note d’intention à la direction. Signal : un sponsor identifié, une note discutée en comité.</w:t>
            </w:r>
          </w:p>
        </w:tc>
        <w:tc>
          <w:tcPr>
            <w:tcW w:type="dxa" w:w="2580"/>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Formaliser l’ambition avec un budget, des rôles et des instances, une feuille de route. Signal : un budget voté, un comité qui se réunit et décide.</w:t>
            </w:r>
          </w:p>
        </w:tc>
        <w:tc>
          <w:tcPr>
            <w:tcW w:type="dxa" w:w="2578"/>
            <w:tcMar>
              <w:top w:type="dxa" w:w="70"/>
              <w:left w:type="dxa" w:w="100"/>
              <w:bottom w:type="dxa" w:w="70"/>
              <w:right w:type="dxa" w:w="100"/>
            </w:tcMar>
            <w:vAlign w:val="top"/>
          </w:tcPr>
          <w:p>
            <w:pPr>
              <w:spacing w:after="40" w:before="0" w:line="276" w:lineRule="auto"/>
            </w:pPr>
            <w:r>
              <w:rPr>
                <w:rFonts w:ascii="Arial" w:cs="Arial" w:eastAsia="Arial" w:hAnsi="Arial"/>
                <w:sz w:val="17"/>
                <w:szCs w:val="17"/>
              </w:rPr>
              <w:t xml:space="preserve">Faire porter la vision par la direction, piloter la feuille de route, faire évoluer rôles, processus, offres et indicateurs. Signal : une décision d’arbitrage par trimestre, écrite et suivie.</w:t>
            </w:r>
          </w:p>
        </w:tc>
      </w:tr>
    </w:tbl>
    <w:p>
      <w:pPr>
        <w:spacing w:after="160"/>
      </w:pPr>
    </w:p>
    <w:p>
      <w:pPr>
        <w:pStyle w:val="Heading2"/>
        <w:spacing w:after="120" w:before="300"/>
      </w:pPr>
      <w:r>
        <w:rPr>
          <w:rFonts w:ascii="Arial" w:cs="Arial" w:eastAsia="Arial" w:hAnsi="Arial"/>
        </w:rPr>
        <w:t xml:space="preserve">Où trouver de l’aide</w:t>
      </w:r>
    </w:p>
    <w:p>
      <w:pPr>
        <w:spacing w:after="120" w:before="0" w:line="276" w:lineRule="auto"/>
      </w:pPr>
      <w:r>
        <w:rPr>
          <w:rFonts w:ascii="Arial" w:cs="Arial" w:eastAsia="Arial" w:hAnsi="Arial"/>
        </w:rPr>
        <w:t xml:space="preserve">Chaque transition correspond à un format d’intervention NextStart.AI. Ce tableau est indicatif : le kit est conçu pour être utilisé sans nous.</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3000"/>
        <w:gridCol w:w="6638"/>
      </w:tblGrid>
      <w:tr>
        <w:trPr>
          <w:cantSplit/>
          <w:tblHeader/>
        </w:trPr>
        <w:tc>
          <w:tcPr>
            <w:tcW w:type="dxa" w:w="30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Dimension</w:t>
            </w:r>
          </w:p>
        </w:tc>
        <w:tc>
          <w:tcPr>
            <w:tcW w:type="dxa" w:w="66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Formats adaptés</w:t>
            </w:r>
          </w:p>
        </w:tc>
      </w:tr>
      <w:tr>
        <w:trPr>
          <w:cantSplit/>
        </w:trPr>
        <w:tc>
          <w:tcPr>
            <w:tcW w:type="dxa" w:w="30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A. Adoption et compétences</w:t>
            </w:r>
          </w:p>
        </w:tc>
        <w:tc>
          <w:tcPr>
            <w:tcW w:type="dxa" w:w="6638"/>
            <w:tcMar>
              <w:top w:type="dxa" w:w="70"/>
              <w:left w:type="dxa" w:w="100"/>
              <w:bottom w:type="dxa" w:w="70"/>
              <w:right w:type="dxa" w:w="100"/>
            </w:tcMar>
            <w:vAlign w:val="top"/>
          </w:tcPr>
          <w:p>
            <w:pPr>
              <w:spacing w:after="40" w:before="0" w:line="276" w:lineRule="auto"/>
            </w:pPr>
            <w:hyperlink w:history="1" r:id="rIddsftlbgvir9qybyaqbfxe">
              <w:r>
                <w:rPr>
                  <w:rFonts w:ascii="Arial" w:cs="Arial" w:eastAsia="Arial" w:hAnsi="Arial"/>
                  <w:color w:val="176CAD"/>
                  <w:sz w:val="19"/>
                  <w:szCs w:val="19"/>
                </w:rPr>
                <w:t xml:space="preserve">Masterclass</w:t>
              </w:r>
            </w:hyperlink>
            <w:r>
              <w:rPr>
                <w:rFonts w:ascii="Arial" w:cs="Arial" w:eastAsia="Arial" w:hAnsi="Arial"/>
                <w:sz w:val="19"/>
                <w:szCs w:val="19"/>
              </w:rPr>
              <w:t xml:space="preserve"> · </w:t>
            </w:r>
            <w:hyperlink w:history="1" r:id="rIdkof5hbp4kh99noo1rver5">
              <w:r>
                <w:rPr>
                  <w:rFonts w:ascii="Arial" w:cs="Arial" w:eastAsia="Arial" w:hAnsi="Arial"/>
                  <w:color w:val="176CAD"/>
                  <w:sz w:val="19"/>
                  <w:szCs w:val="19"/>
                </w:rPr>
                <w:t xml:space="preserve">Prompt Party®</w:t>
              </w:r>
            </w:hyperlink>
            <w:r>
              <w:rPr>
                <w:rFonts w:ascii="Arial" w:cs="Arial" w:eastAsia="Arial" w:hAnsi="Arial"/>
                <w:sz w:val="19"/>
                <w:szCs w:val="19"/>
              </w:rPr>
              <w:t xml:space="preserve"> · </w:t>
            </w:r>
            <w:hyperlink w:history="1" r:id="rId5xtp5u3gbgcqbxfa25c2g">
              <w:r>
                <w:rPr>
                  <w:rFonts w:ascii="Arial" w:cs="Arial" w:eastAsia="Arial" w:hAnsi="Arial"/>
                  <w:color w:val="176CAD"/>
                  <w:sz w:val="19"/>
                  <w:szCs w:val="19"/>
                </w:rPr>
                <w:t xml:space="preserve">Ambassadeurs IA</w:t>
              </w:r>
            </w:hyperlink>
          </w:p>
        </w:tc>
      </w:tr>
      <w:tr>
        <w:trPr>
          <w:cantSplit/>
        </w:trPr>
        <w:tc>
          <w:tcPr>
            <w:tcW w:type="dxa" w:w="30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B. Usages métiers et impact</w:t>
            </w:r>
          </w:p>
        </w:tc>
        <w:tc>
          <w:tcPr>
            <w:tcW w:type="dxa" w:w="6638"/>
            <w:tcMar>
              <w:top w:type="dxa" w:w="70"/>
              <w:left w:type="dxa" w:w="100"/>
              <w:bottom w:type="dxa" w:w="70"/>
              <w:right w:type="dxa" w:w="100"/>
            </w:tcMar>
            <w:vAlign w:val="top"/>
          </w:tcPr>
          <w:p>
            <w:pPr>
              <w:spacing w:after="40" w:before="0" w:line="276" w:lineRule="auto"/>
            </w:pPr>
            <w:hyperlink w:history="1" r:id="rIdbtfyfh1482yqraskvjerd">
              <w:r>
                <w:rPr>
                  <w:rFonts w:ascii="Arial" w:cs="Arial" w:eastAsia="Arial" w:hAnsi="Arial"/>
                  <w:color w:val="176CAD"/>
                  <w:sz w:val="19"/>
                  <w:szCs w:val="19"/>
                </w:rPr>
                <w:t xml:space="preserve">Prompt Sprint</w:t>
              </w:r>
            </w:hyperlink>
            <w:r>
              <w:rPr>
                <w:rFonts w:ascii="Arial" w:cs="Arial" w:eastAsia="Arial" w:hAnsi="Arial"/>
                <w:sz w:val="19"/>
                <w:szCs w:val="19"/>
              </w:rPr>
              <w:t xml:space="preserve"> · </w:t>
            </w:r>
            <w:hyperlink w:history="1" r:id="rIdxybxczkbdbyu9ndbcsmkv">
              <w:r>
                <w:rPr>
                  <w:rFonts w:ascii="Arial" w:cs="Arial" w:eastAsia="Arial" w:hAnsi="Arial"/>
                  <w:color w:val="176CAD"/>
                  <w:sz w:val="19"/>
                  <w:szCs w:val="19"/>
                </w:rPr>
                <w:t xml:space="preserve">Prompt Challenge</w:t>
              </w:r>
            </w:hyperlink>
            <w:r>
              <w:rPr>
                <w:rFonts w:ascii="Arial" w:cs="Arial" w:eastAsia="Arial" w:hAnsi="Arial"/>
                <w:sz w:val="19"/>
                <w:szCs w:val="19"/>
              </w:rPr>
              <w:t xml:space="preserve"> · </w:t>
            </w:r>
            <w:hyperlink w:history="1" r:id="rIdo5rtrt76qjveb24ctf6pd">
              <w:r>
                <w:rPr>
                  <w:rFonts w:ascii="Arial" w:cs="Arial" w:eastAsia="Arial" w:hAnsi="Arial"/>
                  <w:color w:val="176CAD"/>
                  <w:sz w:val="19"/>
                  <w:szCs w:val="19"/>
                </w:rPr>
                <w:t xml:space="preserve">Formations métiers</w:t>
              </w:r>
            </w:hyperlink>
          </w:p>
        </w:tc>
      </w:tr>
      <w:tr>
        <w:trPr>
          <w:cantSplit/>
        </w:trPr>
        <w:tc>
          <w:tcPr>
            <w:tcW w:type="dxa" w:w="30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C. Agents et processus</w:t>
            </w:r>
          </w:p>
        </w:tc>
        <w:tc>
          <w:tcPr>
            <w:tcW w:type="dxa" w:w="6638"/>
            <w:tcMar>
              <w:top w:type="dxa" w:w="70"/>
              <w:left w:type="dxa" w:w="100"/>
              <w:bottom w:type="dxa" w:w="70"/>
              <w:right w:type="dxa" w:w="100"/>
            </w:tcMar>
            <w:vAlign w:val="top"/>
          </w:tcPr>
          <w:p>
            <w:pPr>
              <w:spacing w:after="40" w:before="0" w:line="276" w:lineRule="auto"/>
            </w:pPr>
            <w:hyperlink w:history="1" r:id="rIdqheutazdm9ql5x8sq-w-u">
              <w:r>
                <w:rPr>
                  <w:rFonts w:ascii="Arial" w:cs="Arial" w:eastAsia="Arial" w:hAnsi="Arial"/>
                  <w:color w:val="176CAD"/>
                  <w:sz w:val="19"/>
                  <w:szCs w:val="19"/>
                </w:rPr>
                <w:t xml:space="preserve">Agent Party®</w:t>
              </w:r>
            </w:hyperlink>
            <w:r>
              <w:rPr>
                <w:rFonts w:ascii="Arial" w:cs="Arial" w:eastAsia="Arial" w:hAnsi="Arial"/>
                <w:sz w:val="19"/>
                <w:szCs w:val="19"/>
              </w:rPr>
              <w:t xml:space="preserve"> · </w:t>
            </w:r>
            <w:hyperlink w:history="1" r:id="rIdo1t9aupbdg40xfjzbmbr4">
              <w:r>
                <w:rPr>
                  <w:rFonts w:ascii="Arial" w:cs="Arial" w:eastAsia="Arial" w:hAnsi="Arial"/>
                  <w:color w:val="176CAD"/>
                  <w:sz w:val="19"/>
                  <w:szCs w:val="19"/>
                </w:rPr>
                <w:t xml:space="preserve">Agent Sprint</w:t>
              </w:r>
            </w:hyperlink>
            <w:r>
              <w:rPr>
                <w:rFonts w:ascii="Arial" w:cs="Arial" w:eastAsia="Arial" w:hAnsi="Arial"/>
                <w:sz w:val="19"/>
                <w:szCs w:val="19"/>
              </w:rPr>
              <w:t xml:space="preserve"> · </w:t>
            </w:r>
            <w:hyperlink w:history="1" r:id="rIdpbv5yo60x9gd5jwsuv3lt">
              <w:r>
                <w:rPr>
                  <w:rFonts w:ascii="Arial" w:cs="Arial" w:eastAsia="Arial" w:hAnsi="Arial"/>
                  <w:color w:val="176CAD"/>
                  <w:sz w:val="19"/>
                  <w:szCs w:val="19"/>
                </w:rPr>
                <w:t xml:space="preserve">Cowork Party®</w:t>
              </w:r>
            </w:hyperlink>
          </w:p>
        </w:tc>
      </w:tr>
      <w:tr>
        <w:trPr>
          <w:cantSplit/>
        </w:trPr>
        <w:tc>
          <w:tcPr>
            <w:tcW w:type="dxa" w:w="30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D. Données et outils</w:t>
            </w:r>
          </w:p>
        </w:tc>
        <w:tc>
          <w:tcPr>
            <w:tcW w:type="dxa" w:w="6638"/>
            <w:tcMar>
              <w:top w:type="dxa" w:w="70"/>
              <w:left w:type="dxa" w:w="100"/>
              <w:bottom w:type="dxa" w:w="70"/>
              <w:right w:type="dxa" w:w="100"/>
            </w:tcMar>
            <w:vAlign w:val="top"/>
          </w:tcPr>
          <w:p>
            <w:pPr>
              <w:spacing w:after="40" w:before="0" w:line="276" w:lineRule="auto"/>
            </w:pPr>
            <w:hyperlink w:history="1" r:id="rIdpukjujgpeuptapsh1jxxx">
              <w:r>
                <w:rPr>
                  <w:rFonts w:ascii="Arial" w:cs="Arial" w:eastAsia="Arial" w:hAnsi="Arial"/>
                  <w:color w:val="176CAD"/>
                  <w:sz w:val="19"/>
                  <w:szCs w:val="19"/>
                </w:rPr>
                <w:t xml:space="preserve">Audit organisation</w:t>
              </w:r>
            </w:hyperlink>
            <w:r>
              <w:rPr>
                <w:rFonts w:ascii="Arial" w:cs="Arial" w:eastAsia="Arial" w:hAnsi="Arial"/>
                <w:sz w:val="19"/>
                <w:szCs w:val="19"/>
              </w:rPr>
              <w:t xml:space="preserve"> · </w:t>
            </w:r>
            <w:hyperlink w:history="1" r:id="rIdtt_ow2aksbtuztifcrojr">
              <w:r>
                <w:rPr>
                  <w:rFonts w:ascii="Arial" w:cs="Arial" w:eastAsia="Arial" w:hAnsi="Arial"/>
                  <w:color w:val="176CAD"/>
                  <w:sz w:val="19"/>
                  <w:szCs w:val="19"/>
                </w:rPr>
                <w:t xml:space="preserve">Cadrage programme IA</w:t>
              </w:r>
            </w:hyperlink>
            <w:r>
              <w:rPr>
                <w:rFonts w:ascii="Arial" w:cs="Arial" w:eastAsia="Arial" w:hAnsi="Arial"/>
                <w:sz w:val="19"/>
                <w:szCs w:val="19"/>
              </w:rPr>
              <w:t xml:space="preserve"> · </w:t>
            </w:r>
            <w:hyperlink w:history="1" r:id="rIdd34lq5evdpsuwwnegc7bz">
              <w:r>
                <w:rPr>
                  <w:rFonts w:ascii="Arial" w:cs="Arial" w:eastAsia="Arial" w:hAnsi="Arial"/>
                  <w:color w:val="176CAD"/>
                  <w:sz w:val="19"/>
                  <w:szCs w:val="19"/>
                </w:rPr>
                <w:t xml:space="preserve">Agent Studio</w:t>
              </w:r>
            </w:hyperlink>
          </w:p>
        </w:tc>
      </w:tr>
      <w:tr>
        <w:trPr>
          <w:cantSplit/>
        </w:trPr>
        <w:tc>
          <w:tcPr>
            <w:tcW w:type="dxa" w:w="30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E. Gouvernance et risques</w:t>
            </w:r>
          </w:p>
        </w:tc>
        <w:tc>
          <w:tcPr>
            <w:tcW w:type="dxa" w:w="6638"/>
            <w:tcMar>
              <w:top w:type="dxa" w:w="70"/>
              <w:left w:type="dxa" w:w="100"/>
              <w:bottom w:type="dxa" w:w="70"/>
              <w:right w:type="dxa" w:w="100"/>
            </w:tcMar>
            <w:vAlign w:val="top"/>
          </w:tcPr>
          <w:p>
            <w:pPr>
              <w:spacing w:after="40" w:before="0" w:line="276" w:lineRule="auto"/>
            </w:pPr>
            <w:hyperlink w:history="1" r:id="rId6lu4ab44fcu9kwjooujou">
              <w:r>
                <w:rPr>
                  <w:rFonts w:ascii="Arial" w:cs="Arial" w:eastAsia="Arial" w:hAnsi="Arial"/>
                  <w:color w:val="176CAD"/>
                  <w:sz w:val="19"/>
                  <w:szCs w:val="19"/>
                </w:rPr>
                <w:t xml:space="preserve">Charte des usages</w:t>
              </w:r>
            </w:hyperlink>
            <w:r>
              <w:rPr>
                <w:rFonts w:ascii="Arial" w:cs="Arial" w:eastAsia="Arial" w:hAnsi="Arial"/>
                <w:sz w:val="19"/>
                <w:szCs w:val="19"/>
              </w:rPr>
              <w:t xml:space="preserve"> · </w:t>
            </w:r>
            <w:hyperlink w:history="1" r:id="rIdek5ngl1kk3ux5b6wro-ux">
              <w:r>
                <w:rPr>
                  <w:rFonts w:ascii="Arial" w:cs="Arial" w:eastAsia="Arial" w:hAnsi="Arial"/>
                  <w:color w:val="176CAD"/>
                  <w:sz w:val="19"/>
                  <w:szCs w:val="19"/>
                </w:rPr>
                <w:t xml:space="preserve">Audit organisation</w:t>
              </w:r>
            </w:hyperlink>
            <w:r>
              <w:rPr>
                <w:rFonts w:ascii="Arial" w:cs="Arial" w:eastAsia="Arial" w:hAnsi="Arial"/>
                <w:sz w:val="19"/>
                <w:szCs w:val="19"/>
              </w:rPr>
              <w:t xml:space="preserve"> · </w:t>
            </w:r>
            <w:hyperlink w:history="1" r:id="rId7fxis18iymczmyujhjvb_">
              <w:r>
                <w:rPr>
                  <w:rFonts w:ascii="Arial" w:cs="Arial" w:eastAsia="Arial" w:hAnsi="Arial"/>
                  <w:color w:val="176CAD"/>
                  <w:sz w:val="19"/>
                  <w:szCs w:val="19"/>
                </w:rPr>
                <w:t xml:space="preserve">Cadrage programme IA</w:t>
              </w:r>
            </w:hyperlink>
          </w:p>
        </w:tc>
      </w:tr>
      <w:tr>
        <w:trPr>
          <w:cantSplit/>
        </w:trPr>
        <w:tc>
          <w:tcPr>
            <w:tcW w:type="dxa" w:w="30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F. Stratégie et pilotage</w:t>
            </w:r>
          </w:p>
        </w:tc>
        <w:tc>
          <w:tcPr>
            <w:tcW w:type="dxa" w:w="6638"/>
            <w:tcMar>
              <w:top w:type="dxa" w:w="70"/>
              <w:left w:type="dxa" w:w="100"/>
              <w:bottom w:type="dxa" w:w="70"/>
              <w:right w:type="dxa" w:w="100"/>
            </w:tcMar>
            <w:vAlign w:val="top"/>
          </w:tcPr>
          <w:p>
            <w:pPr>
              <w:spacing w:after="40" w:before="0" w:line="276" w:lineRule="auto"/>
            </w:pPr>
            <w:hyperlink w:history="1" r:id="rIdypbumnaotdxvj9tml36o0">
              <w:r>
                <w:rPr>
                  <w:rFonts w:ascii="Arial" w:cs="Arial" w:eastAsia="Arial" w:hAnsi="Arial"/>
                  <w:color w:val="176CAD"/>
                  <w:sz w:val="19"/>
                  <w:szCs w:val="19"/>
                </w:rPr>
                <w:t xml:space="preserve">Acculturation Comex</w:t>
              </w:r>
            </w:hyperlink>
            <w:r>
              <w:rPr>
                <w:rFonts w:ascii="Arial" w:cs="Arial" w:eastAsia="Arial" w:hAnsi="Arial"/>
                <w:sz w:val="19"/>
                <w:szCs w:val="19"/>
              </w:rPr>
              <w:t xml:space="preserve"> · </w:t>
            </w:r>
            <w:hyperlink w:history="1" r:id="rId2-lybde9r0zhs-oyzvtj0">
              <w:r>
                <w:rPr>
                  <w:rFonts w:ascii="Arial" w:cs="Arial" w:eastAsia="Arial" w:hAnsi="Arial"/>
                  <w:color w:val="176CAD"/>
                  <w:sz w:val="19"/>
                  <w:szCs w:val="19"/>
                </w:rPr>
                <w:t xml:space="preserve">Cadrage programme IA</w:t>
              </w:r>
            </w:hyperlink>
            <w:r>
              <w:rPr>
                <w:rFonts w:ascii="Arial" w:cs="Arial" w:eastAsia="Arial" w:hAnsi="Arial"/>
                <w:sz w:val="19"/>
                <w:szCs w:val="19"/>
              </w:rPr>
              <w:t xml:space="preserve"> · </w:t>
            </w:r>
            <w:hyperlink w:history="1" r:id="rIdu4kv9cbjisgjzhko86tde">
              <w:r>
                <w:rPr>
                  <w:rFonts w:ascii="Arial" w:cs="Arial" w:eastAsia="Arial" w:hAnsi="Arial"/>
                  <w:color w:val="176CAD"/>
                  <w:sz w:val="19"/>
                  <w:szCs w:val="19"/>
                </w:rPr>
                <w:t xml:space="preserve">Réinventer l’organisation</w:t>
              </w:r>
            </w:hyperlink>
          </w:p>
        </w:tc>
      </w:tr>
    </w:tbl>
    <w:p>
      <w:r>
        <w:br w:type="page"/>
      </w:r>
    </w:p>
    <w:p>
      <w:pPr>
        <w:pStyle w:val="Heading1"/>
        <w:spacing w:after="200" w:before="0"/>
      </w:pPr>
      <w:r>
        <w:rPr>
          <w:rFonts w:ascii="Arial" w:cs="Arial" w:eastAsia="Arial" w:hAnsi="Arial"/>
        </w:rPr>
        <w:t xml:space="preserve">Annexe A. Feuille de notation individuelle</w:t>
      </w:r>
    </w:p>
    <w:p>
      <w:pPr>
        <w:spacing w:after="200" w:before="0" w:line="276" w:lineRule="auto"/>
      </w:pPr>
      <w:r>
        <w:rPr>
          <w:rFonts w:ascii="Arial" w:cs="Arial" w:eastAsia="Arial" w:hAnsi="Arial"/>
          <w:color w:val="475569"/>
          <w:sz w:val="24"/>
          <w:szCs w:val="24"/>
        </w:rPr>
        <w:t xml:space="preserve">À remplir seul, en 20 minutes, avant l’atelier. À remettre à l’animateur la veille.</w:t>
      </w:r>
    </w:p>
    <w:p>
      <w:pPr>
        <w:spacing w:after="40" w:before="0" w:line="276" w:lineRule="auto"/>
      </w:pPr>
      <w:r>
        <w:rPr>
          <w:rFonts w:ascii="Arial" w:cs="Arial" w:eastAsia="Arial" w:hAnsi="Arial"/>
          <w:b/>
          <w:bCs/>
        </w:rPr>
        <w:t xml:space="preserve">Nom et fonction :</w:t>
      </w:r>
    </w:p>
    <w:p>
      <w:pPr>
        <w:pBdr>
          <w:bottom w:val="single" w:color="CBD5E1" w:sz="4" w:space="1"/>
        </w:pBdr>
        <w:spacing w:after="160"/>
      </w:pPr>
      <w:r>
        <w:rPr>
          <w:rFonts w:ascii="Arial" w:cs="Arial" w:eastAsia="Arial" w:hAnsi="Arial"/>
        </w:rPr>
        <w:t xml:space="preserve"> </w:t>
      </w:r>
    </w:p>
    <w:p>
      <w:pPr>
        <w:spacing w:after="40" w:before="0" w:line="276" w:lineRule="auto"/>
      </w:pPr>
      <w:r>
        <w:rPr>
          <w:rFonts w:ascii="Arial" w:cs="Arial" w:eastAsia="Arial" w:hAnsi="Arial"/>
          <w:b/>
          <w:bCs/>
        </w:rPr>
        <w:t xml:space="preserve">Date :</w:t>
      </w:r>
    </w:p>
    <w:p>
      <w:pPr>
        <w:pBdr>
          <w:bottom w:val="single" w:color="CBD5E1" w:sz="4" w:space="1"/>
        </w:pBdr>
        <w:spacing w:after="160"/>
      </w:pPr>
      <w:r>
        <w:rPr>
          <w:rFonts w:ascii="Arial" w:cs="Arial" w:eastAsia="Arial" w:hAnsi="Arial"/>
        </w:rPr>
        <w:t xml:space="preserve"> </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2500"/>
        <w:gridCol w:w="1300"/>
        <w:gridCol w:w="4000"/>
        <w:gridCol w:w="1838"/>
      </w:tblGrid>
      <w:tr>
        <w:trPr>
          <w:cantSplit/>
          <w:tblHeader/>
        </w:trPr>
        <w:tc>
          <w:tcPr>
            <w:tcW w:type="dxa" w:w="25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Dimension</w:t>
            </w:r>
          </w:p>
        </w:tc>
        <w:tc>
          <w:tcPr>
            <w:tcW w:type="dxa" w:w="13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Niveau (1 à 4)</w:t>
            </w:r>
          </w:p>
        </w:tc>
        <w:tc>
          <w:tcPr>
            <w:tcW w:type="dxa" w:w="40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Ce qui me fait dire cela</w:t>
            </w:r>
          </w:p>
        </w:tc>
        <w:tc>
          <w:tcPr>
            <w:tcW w:type="dxa" w:w="18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Ma certitude (faible, moyenne, forte)</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A. Adoption et compétences</w:t>
            </w:r>
          </w:p>
        </w:tc>
        <w:tc>
          <w:tcPr>
            <w:tcW w:type="dxa" w:w="1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4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B. Usages métiers et impact</w:t>
            </w:r>
          </w:p>
        </w:tc>
        <w:tc>
          <w:tcPr>
            <w:tcW w:type="dxa" w:w="1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4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C. Agents et processus</w:t>
            </w:r>
          </w:p>
        </w:tc>
        <w:tc>
          <w:tcPr>
            <w:tcW w:type="dxa" w:w="1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4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D. Données et outils</w:t>
            </w:r>
          </w:p>
        </w:tc>
        <w:tc>
          <w:tcPr>
            <w:tcW w:type="dxa" w:w="1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4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E. Gouvernance et risques</w:t>
            </w:r>
          </w:p>
        </w:tc>
        <w:tc>
          <w:tcPr>
            <w:tcW w:type="dxa" w:w="1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4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F. Stratégie et pilotage</w:t>
            </w:r>
          </w:p>
        </w:tc>
        <w:tc>
          <w:tcPr>
            <w:tcW w:type="dxa" w:w="13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4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8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bl>
    <w:p>
      <w:pPr>
        <w:spacing w:after="160"/>
      </w:pPr>
    </w:p>
    <w:p>
      <w:pPr>
        <w:spacing w:after="40" w:before="0" w:line="276" w:lineRule="auto"/>
      </w:pPr>
      <w:r>
        <w:rPr>
          <w:rFonts w:ascii="Arial" w:cs="Arial" w:eastAsia="Arial" w:hAnsi="Arial"/>
          <w:b/>
          <w:bCs/>
        </w:rPr>
        <w:t xml:space="preserve">Le frein principal, selon moi (données, compétences, engagement de la direction, intégration au SI, cadre juridique, temps et priorités concurrentes) :</w:t>
      </w:r>
    </w:p>
    <w:p>
      <w:pPr>
        <w:pBdr>
          <w:bottom w:val="single" w:color="CBD5E1" w:sz="4" w:space="1"/>
        </w:pBdr>
        <w:spacing w:after="160"/>
      </w:pPr>
      <w:r>
        <w:rPr>
          <w:rFonts w:ascii="Arial" w:cs="Arial" w:eastAsia="Arial" w:hAnsi="Arial"/>
        </w:rPr>
        <w:t xml:space="preserve"> </w:t>
      </w:r>
    </w:p>
    <w:p>
      <w:pPr>
        <w:pBdr>
          <w:bottom w:val="single" w:color="CBD5E1" w:sz="4" w:space="1"/>
        </w:pBdr>
        <w:spacing w:after="160"/>
      </w:pPr>
      <w:r>
        <w:rPr>
          <w:rFonts w:ascii="Arial" w:cs="Arial" w:eastAsia="Arial" w:hAnsi="Arial"/>
        </w:rPr>
        <w:t xml:space="preserve"> </w:t>
      </w:r>
    </w:p>
    <w:p>
      <w:pPr>
        <w:spacing w:after="40" w:before="0" w:line="276" w:lineRule="auto"/>
      </w:pPr>
      <w:r>
        <w:rPr>
          <w:rFonts w:ascii="Arial" w:cs="Arial" w:eastAsia="Arial" w:hAnsi="Arial"/>
          <w:b/>
          <w:bCs/>
        </w:rPr>
        <w:t xml:space="preserve">Le chantier que je proposerais en premier :</w:t>
      </w:r>
    </w:p>
    <w:p>
      <w:pPr>
        <w:pBdr>
          <w:bottom w:val="single" w:color="CBD5E1" w:sz="4" w:space="1"/>
        </w:pBdr>
        <w:spacing w:after="160"/>
      </w:pPr>
      <w:r>
        <w:rPr>
          <w:rFonts w:ascii="Arial" w:cs="Arial" w:eastAsia="Arial" w:hAnsi="Arial"/>
        </w:rPr>
        <w:t xml:space="preserve"> </w:t>
      </w:r>
    </w:p>
    <w:p>
      <w:pPr>
        <w:pBdr>
          <w:bottom w:val="single" w:color="CBD5E1" w:sz="4" w:space="1"/>
        </w:pBdr>
        <w:spacing w:after="160"/>
      </w:pPr>
      <w:r>
        <w:rPr>
          <w:rFonts w:ascii="Arial" w:cs="Arial" w:eastAsia="Arial" w:hAnsi="Arial"/>
        </w:rPr>
        <w:t xml:space="preserve"> </w:t>
      </w:r>
    </w:p>
    <w:p>
      <w:pPr>
        <w:spacing w:after="40" w:before="0" w:line="276" w:lineRule="auto"/>
      </w:pPr>
      <w:r>
        <w:rPr>
          <w:rFonts w:ascii="Arial" w:cs="Arial" w:eastAsia="Arial" w:hAnsi="Arial"/>
          <w:b/>
          <w:bCs/>
        </w:rPr>
        <w:t xml:space="preserve">Une preuve que j’apporterai en séance :</w:t>
      </w:r>
    </w:p>
    <w:p>
      <w:pPr>
        <w:pBdr>
          <w:bottom w:val="single" w:color="CBD5E1" w:sz="4" w:space="1"/>
        </w:pBdr>
        <w:spacing w:after="160"/>
      </w:pPr>
      <w:r>
        <w:rPr>
          <w:rFonts w:ascii="Arial" w:cs="Arial" w:eastAsia="Arial" w:hAnsi="Arial"/>
        </w:rPr>
        <w:t xml:space="preserve"> </w:t>
      </w:r>
    </w:p>
    <w:p>
      <w:pPr>
        <w:pBdr>
          <w:bottom w:val="single" w:color="CBD5E1" w:sz="4" w:space="1"/>
        </w:pBdr>
        <w:spacing w:after="160"/>
      </w:pPr>
      <w:r>
        <w:rPr>
          <w:rFonts w:ascii="Arial" w:cs="Arial" w:eastAsia="Arial" w:hAnsi="Arial"/>
        </w:rPr>
        <w:t xml:space="preserve"> </w:t>
      </w:r>
    </w:p>
    <w:p>
      <w:r>
        <w:br w:type="page"/>
      </w:r>
    </w:p>
    <w:p>
      <w:pPr>
        <w:pStyle w:val="Heading1"/>
        <w:spacing w:after="200" w:before="0"/>
      </w:pPr>
      <w:r>
        <w:rPr>
          <w:rFonts w:ascii="Arial" w:cs="Arial" w:eastAsia="Arial" w:hAnsi="Arial"/>
        </w:rPr>
        <w:t xml:space="preserve">Annexe B. Modèle de compte rendu d’atelier</w:t>
      </w:r>
    </w:p>
    <w:p>
      <w:pPr>
        <w:spacing w:after="200" w:before="0" w:line="276" w:lineRule="auto"/>
      </w:pPr>
      <w:r>
        <w:rPr>
          <w:rFonts w:ascii="Arial" w:cs="Arial" w:eastAsia="Arial" w:hAnsi="Arial"/>
          <w:color w:val="475569"/>
          <w:sz w:val="24"/>
          <w:szCs w:val="24"/>
        </w:rPr>
        <w:t xml:space="preserve">Une page, envoyée aux participants dans les 48 heures. Elle sert de référence pour la revue à 90 jours.</w:t>
      </w:r>
    </w:p>
    <w:p>
      <w:pPr>
        <w:spacing w:after="40" w:before="0" w:line="276" w:lineRule="auto"/>
      </w:pPr>
      <w:r>
        <w:rPr>
          <w:rFonts w:ascii="Arial" w:cs="Arial" w:eastAsia="Arial" w:hAnsi="Arial"/>
          <w:b/>
          <w:bCs/>
        </w:rPr>
        <w:t xml:space="preserve">Organisation, périmètre noté, date, participants :</w:t>
      </w:r>
    </w:p>
    <w:p>
      <w:pPr>
        <w:pBdr>
          <w:bottom w:val="single" w:color="CBD5E1" w:sz="4" w:space="1"/>
        </w:pBdr>
        <w:spacing w:after="160"/>
      </w:pPr>
      <w:r>
        <w:rPr>
          <w:rFonts w:ascii="Arial" w:cs="Arial" w:eastAsia="Arial" w:hAnsi="Arial"/>
        </w:rPr>
        <w:t xml:space="preserve"> </w:t>
      </w:r>
    </w:p>
    <w:p>
      <w:pPr>
        <w:pStyle w:val="Heading3"/>
        <w:spacing w:after="80" w:before="200"/>
      </w:pPr>
      <w:r>
        <w:rPr>
          <w:rFonts w:ascii="Arial" w:cs="Arial" w:eastAsia="Arial" w:hAnsi="Arial"/>
        </w:rPr>
        <w:t xml:space="preserve">Notation retenue</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2500"/>
        <w:gridCol w:w="1000"/>
        <w:gridCol w:w="3800"/>
        <w:gridCol w:w="2338"/>
      </w:tblGrid>
      <w:tr>
        <w:trPr>
          <w:cantSplit/>
          <w:tblHeader/>
        </w:trPr>
        <w:tc>
          <w:tcPr>
            <w:tcW w:type="dxa" w:w="25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Dimension</w:t>
            </w:r>
          </w:p>
        </w:tc>
        <w:tc>
          <w:tcPr>
            <w:tcW w:type="dxa" w:w="10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Niveau</w:t>
            </w:r>
          </w:p>
        </w:tc>
        <w:tc>
          <w:tcPr>
            <w:tcW w:type="dxa" w:w="38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Preuve retenue</w:t>
            </w:r>
          </w:p>
        </w:tc>
        <w:tc>
          <w:tcPr>
            <w:tcW w:type="dxa" w:w="23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Écart entre participants (min / max)</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A. Adoption et compétences</w:t>
            </w:r>
          </w:p>
        </w:tc>
        <w:tc>
          <w:tcPr>
            <w:tcW w:type="dxa" w:w="1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38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3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B. Usages métiers et impact</w:t>
            </w:r>
          </w:p>
        </w:tc>
        <w:tc>
          <w:tcPr>
            <w:tcW w:type="dxa" w:w="1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38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3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C. Agents et processus</w:t>
            </w:r>
          </w:p>
        </w:tc>
        <w:tc>
          <w:tcPr>
            <w:tcW w:type="dxa" w:w="1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38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3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D. Données et outils</w:t>
            </w:r>
          </w:p>
        </w:tc>
        <w:tc>
          <w:tcPr>
            <w:tcW w:type="dxa" w:w="1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38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3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E. Gouvernance et risques</w:t>
            </w:r>
          </w:p>
        </w:tc>
        <w:tc>
          <w:tcPr>
            <w:tcW w:type="dxa" w:w="1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38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3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F. Stratégie et pilotage</w:t>
            </w:r>
          </w:p>
        </w:tc>
        <w:tc>
          <w:tcPr>
            <w:tcW w:type="dxa" w:w="10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38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3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bl>
    <w:p>
      <w:pPr>
        <w:spacing w:after="120"/>
      </w:pPr>
    </w:p>
    <w:p>
      <w:pPr>
        <w:spacing w:after="40" w:before="0" w:line="276" w:lineRule="auto"/>
      </w:pPr>
      <w:r>
        <w:rPr>
          <w:rFonts w:ascii="Arial" w:cs="Arial" w:eastAsia="Arial" w:hAnsi="Arial"/>
          <w:b/>
          <w:bCs/>
        </w:rPr>
        <w:t xml:space="preserve">Total et profil global :</w:t>
      </w:r>
    </w:p>
    <w:p>
      <w:pPr>
        <w:pBdr>
          <w:bottom w:val="single" w:color="CBD5E1" w:sz="4" w:space="1"/>
        </w:pBdr>
        <w:spacing w:after="160"/>
      </w:pPr>
      <w:r>
        <w:rPr>
          <w:rFonts w:ascii="Arial" w:cs="Arial" w:eastAsia="Arial" w:hAnsi="Arial"/>
        </w:rPr>
        <w:t xml:space="preserve"> </w:t>
      </w:r>
    </w:p>
    <w:p>
      <w:pPr>
        <w:spacing w:after="40" w:before="0" w:line="276" w:lineRule="auto"/>
      </w:pPr>
      <w:r>
        <w:rPr>
          <w:rFonts w:ascii="Arial" w:cs="Arial" w:eastAsia="Arial" w:hAnsi="Arial"/>
          <w:b/>
          <w:bCs/>
        </w:rPr>
        <w:t xml:space="preserve">Dimension plancher, point d’appui, écart :</w:t>
      </w:r>
    </w:p>
    <w:p>
      <w:pPr>
        <w:pBdr>
          <w:bottom w:val="single" w:color="CBD5E1" w:sz="4" w:space="1"/>
        </w:pBdr>
        <w:spacing w:after="160"/>
      </w:pPr>
      <w:r>
        <w:rPr>
          <w:rFonts w:ascii="Arial" w:cs="Arial" w:eastAsia="Arial" w:hAnsi="Arial"/>
        </w:rPr>
        <w:t xml:space="preserve"> </w:t>
      </w:r>
    </w:p>
    <w:p>
      <w:pPr>
        <w:spacing w:after="40" w:before="0" w:line="276" w:lineRule="auto"/>
      </w:pPr>
      <w:r>
        <w:rPr>
          <w:rFonts w:ascii="Arial" w:cs="Arial" w:eastAsia="Arial" w:hAnsi="Arial"/>
          <w:b/>
          <w:bCs/>
        </w:rPr>
        <w:t xml:space="preserve">Profil type identifié (section 5), le cas échéant :</w:t>
      </w:r>
    </w:p>
    <w:p>
      <w:pPr>
        <w:pBdr>
          <w:bottom w:val="single" w:color="CBD5E1" w:sz="4" w:space="1"/>
        </w:pBdr>
        <w:spacing w:after="160"/>
      </w:pPr>
      <w:r>
        <w:rPr>
          <w:rFonts w:ascii="Arial" w:cs="Arial" w:eastAsia="Arial" w:hAnsi="Arial"/>
        </w:rPr>
        <w:t xml:space="preserve"> </w:t>
      </w:r>
    </w:p>
    <w:p>
      <w:pPr>
        <w:pStyle w:val="Heading3"/>
        <w:spacing w:after="80" w:before="200"/>
      </w:pPr>
      <w:r>
        <w:rPr>
          <w:rFonts w:ascii="Arial" w:cs="Arial" w:eastAsia="Arial" w:hAnsi="Arial"/>
        </w:rPr>
        <w:t xml:space="preserve">Les deux chantiers des 90 prochains jours</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2600"/>
        <w:gridCol w:w="3519"/>
        <w:gridCol w:w="3519"/>
      </w:tblGrid>
      <w:tr>
        <w:trPr>
          <w:cantSplit/>
          <w:tblHeader/>
        </w:trPr>
        <w:tc>
          <w:tcPr>
            <w:tcW w:type="dxa" w:w="26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
            </w:r>
          </w:p>
        </w:tc>
        <w:tc>
          <w:tcPr>
            <w:tcW w:type="dxa" w:w="3519"/>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Chantier 1 (plancher)</w:t>
            </w:r>
          </w:p>
        </w:tc>
        <w:tc>
          <w:tcPr>
            <w:tcW w:type="dxa" w:w="3519"/>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Chantier 2</w:t>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Formulation (verbe, périmètre)</w:t>
            </w:r>
          </w:p>
        </w:tc>
        <w:tc>
          <w:tcPr>
            <w:tcW w:type="dxa" w:w="3519"/>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3519"/>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Responsable</w:t>
            </w:r>
          </w:p>
        </w:tc>
        <w:tc>
          <w:tcPr>
            <w:tcW w:type="dxa" w:w="3519"/>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3519"/>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Échéance</w:t>
            </w:r>
          </w:p>
        </w:tc>
        <w:tc>
          <w:tcPr>
            <w:tcW w:type="dxa" w:w="3519"/>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3519"/>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Signal de réussite observable</w:t>
            </w:r>
          </w:p>
        </w:tc>
        <w:tc>
          <w:tcPr>
            <w:tcW w:type="dxa" w:w="3519"/>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3519"/>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6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Première étape sous 15 jours</w:t>
            </w:r>
          </w:p>
        </w:tc>
        <w:tc>
          <w:tcPr>
            <w:tcW w:type="dxa" w:w="3519"/>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3519"/>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bl>
    <w:p>
      <w:pPr>
        <w:spacing w:after="120"/>
      </w:pPr>
    </w:p>
    <w:p>
      <w:pPr>
        <w:spacing w:after="40" w:before="0" w:line="276" w:lineRule="auto"/>
      </w:pPr>
      <w:r>
        <w:rPr>
          <w:rFonts w:ascii="Arial" w:cs="Arial" w:eastAsia="Arial" w:hAnsi="Arial"/>
          <w:b/>
          <w:bCs/>
        </w:rPr>
        <w:t xml:space="preserve">Date de la revue à 90 jours, date de la prochaine notation (six mois) :</w:t>
      </w:r>
    </w:p>
    <w:p>
      <w:pPr>
        <w:pBdr>
          <w:bottom w:val="single" w:color="CBD5E1" w:sz="4" w:space="1"/>
        </w:pBdr>
        <w:spacing w:after="160"/>
      </w:pPr>
      <w:r>
        <w:rPr>
          <w:rFonts w:ascii="Arial" w:cs="Arial" w:eastAsia="Arial" w:hAnsi="Arial"/>
        </w:rPr>
        <w:t xml:space="preserve"> </w:t>
      </w:r>
    </w:p>
    <w:p>
      <w:r>
        <w:br w:type="page"/>
      </w:r>
    </w:p>
    <w:p>
      <w:pPr>
        <w:pStyle w:val="Heading1"/>
        <w:spacing w:after="200" w:before="0"/>
      </w:pPr>
      <w:r>
        <w:rPr>
          <w:rFonts w:ascii="Arial" w:cs="Arial" w:eastAsia="Arial" w:hAnsi="Arial"/>
        </w:rPr>
        <w:t xml:space="preserve">Annexe C. Grille de suivi semestriel</w:t>
      </w:r>
    </w:p>
    <w:p>
      <w:pPr>
        <w:spacing w:after="200" w:before="0" w:line="276" w:lineRule="auto"/>
      </w:pPr>
      <w:r>
        <w:rPr>
          <w:rFonts w:ascii="Arial" w:cs="Arial" w:eastAsia="Arial" w:hAnsi="Arial"/>
          <w:color w:val="475569"/>
          <w:sz w:val="24"/>
          <w:szCs w:val="24"/>
        </w:rPr>
        <w:t xml:space="preserve">La même notation, refaite tous les six mois par le même groupe. On lit la progression dimension par dimension, pas seulement le total.</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2500"/>
        <w:gridCol w:w="1150"/>
        <w:gridCol w:w="1150"/>
        <w:gridCol w:w="1150"/>
        <w:gridCol w:w="1150"/>
        <w:gridCol w:w="2538"/>
      </w:tblGrid>
      <w:tr>
        <w:trPr>
          <w:cantSplit/>
          <w:tblHeader/>
        </w:trPr>
        <w:tc>
          <w:tcPr>
            <w:tcW w:type="dxa" w:w="25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Dimension</w:t>
            </w:r>
          </w:p>
        </w:tc>
        <w:tc>
          <w:tcPr>
            <w:tcW w:type="dxa" w:w="115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Notation 1</w:t>
            </w:r>
          </w:p>
        </w:tc>
        <w:tc>
          <w:tcPr>
            <w:tcW w:type="dxa" w:w="115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Notation 2</w:t>
            </w:r>
          </w:p>
        </w:tc>
        <w:tc>
          <w:tcPr>
            <w:tcW w:type="dxa" w:w="115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Notation 3</w:t>
            </w:r>
          </w:p>
        </w:tc>
        <w:tc>
          <w:tcPr>
            <w:tcW w:type="dxa" w:w="115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Notation 4</w:t>
            </w:r>
          </w:p>
        </w:tc>
        <w:tc>
          <w:tcPr>
            <w:tcW w:type="dxa" w:w="25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Progression</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A. Adoption et compétences</w:t>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B. Usages métiers et impact</w:t>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C. Agents et processus</w:t>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D. Données et outils</w:t>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E. Gouvernance et risques</w:t>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F. Stratégie et pilotage</w:t>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Total (sur 24)</w:t>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Profil global</w:t>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Dimension plancher</w:t>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115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c>
          <w:tcPr>
            <w:tcW w:type="dxa" w:w="25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
            </w:r>
          </w:p>
        </w:tc>
      </w:tr>
    </w:tbl>
    <w:p>
      <w:pPr>
        <w:spacing w:after="16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6CAD" w:sz="4"/>
              <w:left w:val="single" w:color="176CAD" w:sz="24"/>
              <w:bottom w:val="single" w:color="176CAD" w:sz="4"/>
              <w:right w:val="single" w:color="176CAD" w:sz="4"/>
            </w:tcBorders>
            <w:shd w:fill="EAF2FA" w:color="auto" w:val="clear"/>
            <w:tcMar>
              <w:top w:type="dxa" w:w="140"/>
              <w:left w:type="dxa" w:w="200"/>
              <w:bottom w:type="dxa" w:w="140"/>
              <w:right w:type="dxa" w:w="200"/>
            </w:tcMar>
          </w:tcPr>
          <w:p>
            <w:pPr>
              <w:spacing w:after="0" w:before="0" w:line="276" w:lineRule="auto"/>
            </w:pPr>
            <w:r>
              <w:rPr>
                <w:rFonts w:ascii="Arial" w:cs="Arial" w:eastAsia="Arial" w:hAnsi="Arial"/>
                <w:b/>
                <w:bCs/>
              </w:rPr>
              <w:t xml:space="preserve">Trois lectures à faire à chaque notation. </w:t>
            </w:r>
            <w:r>
              <w:rPr>
                <w:rFonts w:ascii="Arial" w:cs="Arial" w:eastAsia="Arial" w:hAnsi="Arial"/>
              </w:rPr>
              <w:t xml:space="preserve">Le plancher a-t-il monté d’un niveau ? C’est le seul objectif du chantier 1, et il doit être atteint. L’écart entre point d’appui et plancher s’est-il réduit ? Si oui, l’organisation se stabilise. Une dimension a-t-elle baissé ? Cela arrive, par exemple quand un outil est retiré ou un relais part : c’est un signal à traiter avant tout nouveau chantier.</w:t>
            </w:r>
          </w:p>
        </w:tc>
      </w:tr>
    </w:tbl>
    <w:p>
      <w:pPr>
        <w:spacing w:after="160"/>
      </w:pPr>
    </w:p>
    <w:p>
      <w:pPr>
        <w:pStyle w:val="Heading3"/>
        <w:spacing w:after="80" w:before="200"/>
      </w:pPr>
      <w:r>
        <w:rPr>
          <w:rFonts w:ascii="Arial" w:cs="Arial" w:eastAsia="Arial" w:hAnsi="Arial"/>
        </w:rPr>
        <w:t xml:space="preserve">Repères de rythme</w:t>
      </w:r>
    </w:p>
    <w:p>
      <w:pPr>
        <w:spacing w:after="120" w:before="0" w:line="276" w:lineRule="auto"/>
      </w:pPr>
      <w:r>
        <w:rPr>
          <w:rFonts w:ascii="Arial" w:cs="Arial" w:eastAsia="Arial" w:hAnsi="Arial"/>
        </w:rPr>
        <w:t xml:space="preserve">Dans les organisations que nous accompagnons, un niveau se gagne en général en deux à quatre semestres sur une dimension donnée, plus vite sur Gouvernance et risques (c’est surtout un travail de rédaction et de diffusion), plus lentement sur Adoption et compétences et sur Agents et processus (c’est un travail sur les pratiques). Passer de 2 à 3 sur les six dimensions en même temps est rare ; passer de 2 à 3 sur deux dimensions par an est un bon rythme.</w:t>
      </w:r>
    </w:p>
    <w:p>
      <w:r>
        <w:br w:type="page"/>
      </w:r>
    </w:p>
    <w:p>
      <w:pPr>
        <w:pStyle w:val="Heading1"/>
        <w:spacing w:after="200" w:before="0"/>
      </w:pPr>
      <w:r>
        <w:rPr>
          <w:rFonts w:ascii="Arial" w:cs="Arial" w:eastAsia="Arial" w:hAnsi="Arial"/>
        </w:rPr>
        <w:t xml:space="preserve">Annexe D. Correspondance avec le diagnostic en ligne</w:t>
      </w:r>
    </w:p>
    <w:p>
      <w:pPr>
        <w:spacing w:after="200" w:before="0" w:line="276" w:lineRule="auto"/>
      </w:pPr>
      <w:r>
        <w:rPr>
          <w:rFonts w:ascii="Arial" w:cs="Arial" w:eastAsia="Arial" w:hAnsi="Arial"/>
          <w:color w:val="475569"/>
          <w:sz w:val="24"/>
          <w:szCs w:val="24"/>
        </w:rPr>
        <w:t xml:space="preserve">Le diagnostic en ligne NextStart.AI pose 22 questions réparties sur les six mêmes piliers et rend un score sur 100 avec un radar. Voici comment relier les deux lectures.</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2500"/>
        <w:gridCol w:w="4400"/>
        <w:gridCol w:w="2738"/>
      </w:tblGrid>
      <w:tr>
        <w:trPr>
          <w:cantSplit/>
          <w:tblHeader/>
        </w:trPr>
        <w:tc>
          <w:tcPr>
            <w:tcW w:type="dxa" w:w="25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Dimension de la grille</w:t>
            </w:r>
          </w:p>
        </w:tc>
        <w:tc>
          <w:tcPr>
            <w:tcW w:type="dxa" w:w="44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Questions du diagnostic en ligne</w:t>
            </w:r>
          </w:p>
        </w:tc>
        <w:tc>
          <w:tcPr>
            <w:tcW w:type="dxa" w:w="27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Ce que le diagnostic ajoute</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A. Adoption et compétences</w:t>
            </w:r>
          </w:p>
        </w:tc>
        <w:tc>
          <w:tcPr>
            <w:tcW w:type="dxa" w:w="4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4 questions : part d’utilisateurs hebdomadaires, développement des compétences, animation dans la durée, position du management intermédiaire.</w:t>
            </w:r>
          </w:p>
        </w:tc>
        <w:tc>
          <w:tcPr>
            <w:tcW w:type="dxa" w:w="2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Une note individuelle rapide, utile pour préparer la séance.</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B. Usages métiers et impact</w:t>
            </w:r>
          </w:p>
        </w:tc>
        <w:tc>
          <w:tcPr>
            <w:tcW w:type="dxa" w:w="4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4 questions : adaptation aux métiers, priorisation des cas, mesure de l’impact, nombre de cas en routine.</w:t>
            </w:r>
          </w:p>
        </w:tc>
        <w:tc>
          <w:tcPr>
            <w:tcW w:type="dxa" w:w="2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Idem.</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C. Agents et processus</w:t>
            </w:r>
          </w:p>
        </w:tc>
        <w:tc>
          <w:tcPr>
            <w:tcW w:type="dxa" w:w="4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3 questions : état sur les agents, cartographie du délégable, refonte des processus.</w:t>
            </w:r>
          </w:p>
        </w:tc>
        <w:tc>
          <w:tcPr>
            <w:tcW w:type="dxa" w:w="2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Idem.</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D. Données et outils</w:t>
            </w:r>
          </w:p>
        </w:tc>
        <w:tc>
          <w:tcPr>
            <w:tcW w:type="dxa" w:w="4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3 questions : outils sécurisés, préparation des données, intégration au SI.</w:t>
            </w:r>
          </w:p>
        </w:tc>
        <w:tc>
          <w:tcPr>
            <w:tcW w:type="dxa" w:w="2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Idem.</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E. Gouvernance et risques</w:t>
            </w:r>
          </w:p>
        </w:tc>
        <w:tc>
          <w:tcPr>
            <w:tcW w:type="dxa" w:w="4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5 questions : charte, conformité et risques, supervision des résultats, cadre des agents autonomes, visibilité sur les outils grand public.</w:t>
            </w:r>
          </w:p>
        </w:tc>
        <w:tc>
          <w:tcPr>
            <w:tcW w:type="dxa" w:w="2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Idem.</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F. Stratégie et pilotage</w:t>
            </w:r>
          </w:p>
        </w:tc>
        <w:tc>
          <w:tcPr>
            <w:tcW w:type="dxa" w:w="4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3 questions : place à la direction, gouvernance du programme, évolution du modèle opérationnel.</w:t>
            </w:r>
          </w:p>
        </w:tc>
        <w:tc>
          <w:tcPr>
            <w:tcW w:type="dxa" w:w="2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Idem.</w:t>
            </w:r>
          </w:p>
        </w:tc>
      </w:tr>
      <w:tr>
        <w:trPr>
          <w:cantSplit/>
        </w:trPr>
        <w:tc>
          <w:tcPr>
            <w:tcW w:type="dxa" w:w="2500"/>
            <w:shd w:fill="F8FAFC" w:color="auto" w:val="clear"/>
            <w:tcMar>
              <w:top w:type="dxa" w:w="70"/>
              <w:left w:type="dxa" w:w="100"/>
              <w:bottom w:type="dxa" w:w="70"/>
              <w:right w:type="dxa" w:w="100"/>
            </w:tcMar>
            <w:vAlign w:val="top"/>
          </w:tcPr>
          <w:p>
            <w:pPr>
              <w:spacing w:after="40" w:before="0" w:line="276" w:lineRule="auto"/>
            </w:pPr>
            <w:r>
              <w:rPr>
                <w:rFonts w:ascii="Arial" w:cs="Arial" w:eastAsia="Arial" w:hAnsi="Arial"/>
                <w:b/>
                <w:bCs/>
                <w:sz w:val="19"/>
                <w:szCs w:val="19"/>
              </w:rPr>
              <w:t xml:space="preserve">Frein principal</w:t>
            </w:r>
          </w:p>
        </w:tc>
        <w:tc>
          <w:tcPr>
            <w:tcW w:type="dxa" w:w="4400"/>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1 question : données, compétences, engagement de la direction, intégration au SI, cadre juridique, temps et priorités concurrentes.</w:t>
            </w:r>
          </w:p>
        </w:tc>
        <w:tc>
          <w:tcPr>
            <w:tcW w:type="dxa" w:w="27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Le frein déclaré oriente le second chantier (section 5).</w:t>
            </w:r>
          </w:p>
        </w:tc>
      </w:tr>
    </w:tbl>
    <w:p>
      <w:pPr>
        <w:spacing w:after="160"/>
      </w:pPr>
    </w:p>
    <w:p>
      <w:pPr>
        <w:spacing w:after="120" w:before="0" w:line="276" w:lineRule="auto"/>
      </w:pPr>
      <w:r>
        <w:rPr>
          <w:rFonts w:ascii="Arial" w:cs="Arial" w:eastAsia="Arial" w:hAnsi="Arial"/>
          <w:b/>
          <w:bCs/>
        </w:rPr>
        <w:t xml:space="preserve">Comment passer de l’un à l’autre. </w:t>
      </w:r>
      <w:r>
        <w:rPr>
          <w:rFonts w:ascii="Arial" w:cs="Arial" w:eastAsia="Arial" w:hAnsi="Arial"/>
        </w:rPr>
        <w:t xml:space="preserve">Chaque question du diagnostic propose quatre réponses, qui correspondent aux quatre niveaux de la grille. Une dimension notée 3 dans la grille correspond à un pilier compris entre 60 et 80 sur 100 dans le diagnostic. Les deux outils ne se substituent pas : le diagnostic donne une photographie individuelle en six minutes ; la grille donne un constat collectif, prouvé, en 90 minutes. Le diagnostic est accessible sans inscription à l’adresse </w:t>
      </w:r>
      <w:hyperlink w:history="1" r:id="rIdsus6vuluqx9tgntgmlk6o">
        <w:r>
          <w:rPr>
            <w:rFonts w:ascii="Arial" w:cs="Arial" w:eastAsia="Arial" w:hAnsi="Arial"/>
            <w:color w:val="176CAD"/>
          </w:rPr>
          <w:t xml:space="preserve">nextstart.ai/adoption</w:t>
        </w:r>
      </w:hyperlink>
      <w:r>
        <w:rPr>
          <w:rFonts w:ascii="Arial" w:cs="Arial" w:eastAsia="Arial" w:hAnsi="Arial"/>
        </w:rPr>
        <w:t xml:space="preserve">.</w:t>
      </w:r>
    </w:p>
    <w:p>
      <w:r>
        <w:br w:type="page"/>
      </w:r>
    </w:p>
    <w:p>
      <w:pPr>
        <w:pStyle w:val="Heading1"/>
        <w:spacing w:after="200" w:before="0"/>
      </w:pPr>
      <w:r>
        <w:rPr>
          <w:rFonts w:ascii="Arial" w:cs="Arial" w:eastAsia="Arial" w:hAnsi="Arial"/>
        </w:rPr>
        <w:t xml:space="preserve">Annexe E. Questions fréquentes</w:t>
      </w:r>
    </w:p>
    <w:p>
      <w:pPr>
        <w:pStyle w:val="Heading3"/>
        <w:spacing w:after="80" w:before="200"/>
      </w:pPr>
      <w:r>
        <w:rPr>
          <w:rFonts w:ascii="Arial" w:cs="Arial" w:eastAsia="Arial" w:hAnsi="Arial"/>
        </w:rPr>
        <w:t xml:space="preserve">Faut-il noter l’organisation entière ou une entité ?</w:t>
      </w:r>
    </w:p>
    <w:p>
      <w:pPr>
        <w:spacing w:after="120" w:before="0" w:line="276" w:lineRule="auto"/>
      </w:pPr>
      <w:r>
        <w:rPr>
          <w:rFonts w:ascii="Arial" w:cs="Arial" w:eastAsia="Arial" w:hAnsi="Arial"/>
        </w:rPr>
        <w:t xml:space="preserve">Le périmètre qui correspond au pouvoir de décision du sponsor présent. Une direction métier peut se noter seule si elle décide de ses outils, de ses formations et de ses règles. Sinon, c’est l’organisation qui fournit ces trois choses que l’on note. Indiquez le périmètre retenu sur le compte rendu.</w:t>
      </w:r>
    </w:p>
    <w:p>
      <w:pPr>
        <w:pStyle w:val="Heading3"/>
        <w:spacing w:after="80" w:before="200"/>
      </w:pPr>
      <w:r>
        <w:rPr>
          <w:rFonts w:ascii="Arial" w:cs="Arial" w:eastAsia="Arial" w:hAnsi="Arial"/>
        </w:rPr>
        <w:t xml:space="preserve">Que faire si les participants ne s’accordent pas sur une preuve ?</w:t>
      </w:r>
    </w:p>
    <w:p>
      <w:pPr>
        <w:spacing w:after="120" w:before="0" w:line="276" w:lineRule="auto"/>
      </w:pPr>
      <w:r>
        <w:rPr>
          <w:rFonts w:ascii="Arial" w:cs="Arial" w:eastAsia="Arial" w:hAnsi="Arial"/>
        </w:rPr>
        <w:t xml:space="preserve">La note basse l’emporte, et le désaccord est noté dans le compte rendu comme une preuve à produire pour la notation suivante. Rechercher la preuve devient, de fait, une première étape du chantier.</w:t>
      </w:r>
    </w:p>
    <w:p>
      <w:pPr>
        <w:pStyle w:val="Heading3"/>
        <w:spacing w:after="80" w:before="200"/>
      </w:pPr>
      <w:r>
        <w:rPr>
          <w:rFonts w:ascii="Arial" w:cs="Arial" w:eastAsia="Arial" w:hAnsi="Arial"/>
        </w:rPr>
        <w:t xml:space="preserve">Peut-on être au niveau 4 sur une dimension et au niveau 1 sur une autre ?</w:t>
      </w:r>
    </w:p>
    <w:p>
      <w:pPr>
        <w:spacing w:after="120" w:before="0" w:line="276" w:lineRule="auto"/>
      </w:pPr>
      <w:r>
        <w:rPr>
          <w:rFonts w:ascii="Arial" w:cs="Arial" w:eastAsia="Arial" w:hAnsi="Arial"/>
        </w:rPr>
        <w:t xml:space="preserve">Oui, et c’est précisément ce que la grille est faite pour montrer. Cette situation correspond à l’un des profils de la section 5, et elle commande de traiter le déséquilibre avant d’étendre.</w:t>
      </w:r>
    </w:p>
    <w:p>
      <w:pPr>
        <w:pStyle w:val="Heading3"/>
        <w:spacing w:after="80" w:before="200"/>
      </w:pPr>
      <w:r>
        <w:rPr>
          <w:rFonts w:ascii="Arial" w:cs="Arial" w:eastAsia="Arial" w:hAnsi="Arial"/>
        </w:rPr>
        <w:t xml:space="preserve">La grille s’applique-t-elle à une PME ?</w:t>
      </w:r>
    </w:p>
    <w:p>
      <w:pPr>
        <w:spacing w:after="120" w:before="0" w:line="276" w:lineRule="auto"/>
      </w:pPr>
      <w:r>
        <w:rPr>
          <w:rFonts w:ascii="Arial" w:cs="Arial" w:eastAsia="Arial" w:hAnsi="Arial"/>
        </w:rPr>
        <w:t xml:space="preserve">Oui, avec les mêmes descripteurs. Les preuves sont plus simples à réunir et l’atelier peut se tenir avec quatre personnes. Le niveau 4 sur Stratégie et pilotage y est même plus accessible : la direction est proche du terrain.</w:t>
      </w:r>
    </w:p>
    <w:p>
      <w:pPr>
        <w:pStyle w:val="Heading3"/>
        <w:spacing w:after="80" w:before="200"/>
      </w:pPr>
      <w:r>
        <w:rPr>
          <w:rFonts w:ascii="Arial" w:cs="Arial" w:eastAsia="Arial" w:hAnsi="Arial"/>
        </w:rPr>
        <w:t xml:space="preserve">Que vaut une notation faite par une seule personne ?</w:t>
      </w:r>
    </w:p>
    <w:p>
      <w:pPr>
        <w:spacing w:after="120" w:before="0" w:line="276" w:lineRule="auto"/>
      </w:pPr>
      <w:r>
        <w:rPr>
          <w:rFonts w:ascii="Arial" w:cs="Arial" w:eastAsia="Arial" w:hAnsi="Arial"/>
        </w:rPr>
        <w:t xml:space="preserve">Une opinion informée. Elle suffit pour préparer une note ou une réunion, pas pour décider un chantier. Si vous êtes seul, demandez au moins à deux personnes d’autres fonctions de noter de leur côté et comparez.</w:t>
      </w:r>
    </w:p>
    <w:p>
      <w:pPr>
        <w:pStyle w:val="Heading3"/>
        <w:spacing w:after="80" w:before="200"/>
      </w:pPr>
      <w:r>
        <w:rPr>
          <w:rFonts w:ascii="Arial" w:cs="Arial" w:eastAsia="Arial" w:hAnsi="Arial"/>
        </w:rPr>
        <w:t xml:space="preserve">Combien de temps faut-il conserver le même groupe ?</w:t>
      </w:r>
    </w:p>
    <w:p>
      <w:pPr>
        <w:spacing w:after="120" w:before="0" w:line="276" w:lineRule="auto"/>
      </w:pPr>
      <w:r>
        <w:rPr>
          <w:rFonts w:ascii="Arial" w:cs="Arial" w:eastAsia="Arial" w:hAnsi="Arial"/>
        </w:rPr>
        <w:t xml:space="preserve">Au moins trois notations, soit dix-huit mois. La valeur de la grille tient à la comparaison dans le temps, et la comparaison suppose la même façon de noter.</w:t>
      </w:r>
    </w:p>
    <w:p>
      <w:pPr>
        <w:pStyle w:val="Heading3"/>
        <w:spacing w:after="80" w:before="200"/>
      </w:pPr>
      <w:r>
        <w:rPr>
          <w:rFonts w:ascii="Arial" w:cs="Arial" w:eastAsia="Arial" w:hAnsi="Arial"/>
        </w:rPr>
        <w:t xml:space="preserve">Quelle place tient l’AI Act dans la notation ?</w:t>
      </w:r>
    </w:p>
    <w:p>
      <w:pPr>
        <w:spacing w:after="120" w:before="0" w:line="276" w:lineRule="auto"/>
      </w:pPr>
      <w:r>
        <w:rPr>
          <w:rFonts w:ascii="Arial" w:cs="Arial" w:eastAsia="Arial" w:hAnsi="Arial"/>
        </w:rPr>
        <w:t xml:space="preserve">Il apparaît dans la dimension E, au niveau 4, dans le cadre opérationnel. L’obligation de maîtrise de l’IA prévue à l’article 4 concerne toute organisation qui déploie des systèmes d’IA auprès de ses collaborateurs ; le dispositif de formation et la charte (dimensions A et E) sont les deux endroits où elle se traduit concrètement. La grille ne constitue pas un avis juridique.</w:t>
      </w:r>
    </w:p>
    <w:p>
      <w:r>
        <w:br w:type="page"/>
      </w:r>
    </w:p>
    <w:p>
      <w:pPr>
        <w:pStyle w:val="Heading1"/>
        <w:spacing w:after="200" w:before="0"/>
      </w:pPr>
      <w:r>
        <w:rPr>
          <w:rFonts w:ascii="Arial" w:cs="Arial" w:eastAsia="Arial" w:hAnsi="Arial"/>
        </w:rPr>
        <w:t xml:space="preserve">Annexe F. Pour aller plus loin</w:t>
      </w:r>
    </w:p>
    <w:p>
      <w:pPr>
        <w:spacing w:after="200" w:before="0" w:line="276" w:lineRule="auto"/>
      </w:pPr>
      <w:r>
        <w:rPr>
          <w:rFonts w:ascii="Arial" w:cs="Arial" w:eastAsia="Arial" w:hAnsi="Arial"/>
          <w:color w:val="475569"/>
          <w:sz w:val="24"/>
          <w:szCs w:val="24"/>
        </w:rPr>
        <w:t xml:space="preserve">Ce kit est un extrait de La Méthode NextStart. Les autres kits de la collection couvrent les chantiers que la grille fait apparaître.</w:t>
      </w:r>
    </w:p>
    <w:tbl>
      <w:tblPr>
        <w:tblW w:type="dxa" w:w="9638"/>
        <w:tblBorders>
          <w:top w:val="single" w:color="CBD5E1" w:sz="4"/>
          <w:left w:val="single" w:color="CBD5E1" w:sz="4"/>
          <w:bottom w:val="single" w:color="CBD5E1" w:sz="4"/>
          <w:right w:val="single" w:color="CBD5E1" w:sz="4"/>
          <w:insideH w:val="single" w:color="CBD5E1" w:sz="4"/>
          <w:insideV w:val="single" w:color="CBD5E1" w:sz="4"/>
        </w:tblBorders>
        <w:tblLayout w:type="fixed"/>
      </w:tblPr>
      <w:tblGrid>
        <w:gridCol w:w="3600"/>
        <w:gridCol w:w="6038"/>
      </w:tblGrid>
      <w:tr>
        <w:trPr>
          <w:cantSplit/>
          <w:tblHeader/>
        </w:trPr>
        <w:tc>
          <w:tcPr>
            <w:tcW w:type="dxa" w:w="3600"/>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Ressource</w:t>
            </w:r>
          </w:p>
        </w:tc>
        <w:tc>
          <w:tcPr>
            <w:tcW w:type="dxa" w:w="6038"/>
            <w:shd w:fill="176CAD" w:color="auto" w:val="clear"/>
            <w:tcMar>
              <w:top w:type="dxa" w:w="70"/>
              <w:left w:type="dxa" w:w="100"/>
              <w:bottom w:type="dxa" w:w="70"/>
              <w:right w:type="dxa" w:w="100"/>
            </w:tcMar>
            <w:vAlign w:val="top"/>
          </w:tcPr>
          <w:p>
            <w:pPr>
              <w:spacing w:after="40" w:before="0" w:line="276" w:lineRule="auto"/>
            </w:pPr>
            <w:r>
              <w:rPr>
                <w:rFonts w:ascii="Arial" w:cs="Arial" w:eastAsia="Arial" w:hAnsi="Arial"/>
                <w:b/>
                <w:bCs/>
                <w:color w:val="FFFFFF"/>
                <w:sz w:val="19"/>
                <w:szCs w:val="19"/>
              </w:rPr>
              <w:t xml:space="preserve">Pour quel chantier</w:t>
            </w:r>
          </w:p>
        </w:tc>
      </w:tr>
      <w:tr>
        <w:trPr>
          <w:cantSplit/>
        </w:trPr>
        <w:tc>
          <w:tcPr>
            <w:tcW w:type="dxa" w:w="3600"/>
            <w:shd w:fill="F8FAFC" w:color="auto" w:val="clear"/>
            <w:tcMar>
              <w:top w:type="dxa" w:w="70"/>
              <w:left w:type="dxa" w:w="100"/>
              <w:bottom w:type="dxa" w:w="70"/>
              <w:right w:type="dxa" w:w="100"/>
            </w:tcMar>
            <w:vAlign w:val="top"/>
          </w:tcPr>
          <w:p>
            <w:pPr>
              <w:spacing w:after="40" w:before="0" w:line="276" w:lineRule="auto"/>
            </w:pPr>
            <w:hyperlink w:history="1" r:id="rIdg05887zgohvq4yfkcbvw4">
              <w:r>
                <w:rPr>
                  <w:rFonts w:ascii="Arial" w:cs="Arial" w:eastAsia="Arial" w:hAnsi="Arial"/>
                  <w:color w:val="176CAD"/>
                  <w:sz w:val="19"/>
                  <w:szCs w:val="19"/>
                </w:rPr>
                <w:t xml:space="preserve">Modèle de charte IA entreprise</w:t>
              </w:r>
            </w:hyperlink>
          </w:p>
        </w:tc>
        <w:tc>
          <w:tcPr>
            <w:tcW w:type="dxa" w:w="6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Dimension E, passage de 1 à 2 et de 2 à 3 : une charte à adapter, avec ses annexes.</w:t>
            </w:r>
          </w:p>
        </w:tc>
      </w:tr>
      <w:tr>
        <w:trPr>
          <w:cantSplit/>
        </w:trPr>
        <w:tc>
          <w:tcPr>
            <w:tcW w:type="dxa" w:w="3600"/>
            <w:shd w:fill="F8FAFC" w:color="auto" w:val="clear"/>
            <w:tcMar>
              <w:top w:type="dxa" w:w="70"/>
              <w:left w:type="dxa" w:w="100"/>
              <w:bottom w:type="dxa" w:w="70"/>
              <w:right w:type="dxa" w:w="100"/>
            </w:tcMar>
            <w:vAlign w:val="top"/>
          </w:tcPr>
          <w:p>
            <w:pPr>
              <w:spacing w:after="40" w:before="0" w:line="276" w:lineRule="auto"/>
            </w:pPr>
            <w:hyperlink w:history="1" r:id="rIdkdnn8hcbrxbxoj14klo0q">
              <w:r>
                <w:rPr>
                  <w:rFonts w:ascii="Arial" w:cs="Arial" w:eastAsia="Arial" w:hAnsi="Arial"/>
                  <w:color w:val="176CAD"/>
                  <w:sz w:val="19"/>
                  <w:szCs w:val="19"/>
                </w:rPr>
                <w:t xml:space="preserve">Kit Ambassadeurs IA</w:t>
              </w:r>
            </w:hyperlink>
          </w:p>
        </w:tc>
        <w:tc>
          <w:tcPr>
            <w:tcW w:type="dxa" w:w="6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Dimension A, passage de 2 à 3 et de 3 à 4 : recruter, former, animer et mesurer un réseau de relais.</w:t>
            </w:r>
          </w:p>
        </w:tc>
      </w:tr>
      <w:tr>
        <w:trPr>
          <w:cantSplit/>
        </w:trPr>
        <w:tc>
          <w:tcPr>
            <w:tcW w:type="dxa" w:w="3600"/>
            <w:shd w:fill="F8FAFC" w:color="auto" w:val="clear"/>
            <w:tcMar>
              <w:top w:type="dxa" w:w="70"/>
              <w:left w:type="dxa" w:w="100"/>
              <w:bottom w:type="dxa" w:w="70"/>
              <w:right w:type="dxa" w:w="100"/>
            </w:tcMar>
            <w:vAlign w:val="top"/>
          </w:tcPr>
          <w:p>
            <w:pPr>
              <w:spacing w:after="40" w:before="0" w:line="276" w:lineRule="auto"/>
            </w:pPr>
            <w:hyperlink w:history="1" r:id="rId2srvnoco4_ojjmyd5cuhy">
              <w:r>
                <w:rPr>
                  <w:rFonts w:ascii="Arial" w:cs="Arial" w:eastAsia="Arial" w:hAnsi="Arial"/>
                  <w:color w:val="176CAD"/>
                  <w:sz w:val="19"/>
                  <w:szCs w:val="19"/>
                </w:rPr>
                <w:t xml:space="preserve">Kit Manager IA</w:t>
              </w:r>
            </w:hyperlink>
          </w:p>
        </w:tc>
        <w:tc>
          <w:tcPr>
            <w:tcW w:type="dxa" w:w="6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Dimension A, niveau 4 : faire des managers les porteurs de l’usage dans leur équipe.</w:t>
            </w:r>
          </w:p>
        </w:tc>
      </w:tr>
      <w:tr>
        <w:trPr>
          <w:cantSplit/>
        </w:trPr>
        <w:tc>
          <w:tcPr>
            <w:tcW w:type="dxa" w:w="3600"/>
            <w:shd w:fill="F8FAFC" w:color="auto" w:val="clear"/>
            <w:tcMar>
              <w:top w:type="dxa" w:w="70"/>
              <w:left w:type="dxa" w:w="100"/>
              <w:bottom w:type="dxa" w:w="70"/>
              <w:right w:type="dxa" w:w="100"/>
            </w:tcMar>
            <w:vAlign w:val="top"/>
          </w:tcPr>
          <w:p>
            <w:pPr>
              <w:spacing w:after="40" w:before="0" w:line="276" w:lineRule="auto"/>
            </w:pPr>
            <w:hyperlink w:history="1" r:id="rIdpenqfazqpdt4rzqsbcww0">
              <w:r>
                <w:rPr>
                  <w:rFonts w:ascii="Arial" w:cs="Arial" w:eastAsia="Arial" w:hAnsi="Arial"/>
                  <w:color w:val="176CAD"/>
                  <w:sz w:val="19"/>
                  <w:szCs w:val="19"/>
                </w:rPr>
                <w:t xml:space="preserve">Kit Feuille de route adoption IA</w:t>
              </w:r>
            </w:hyperlink>
          </w:p>
        </w:tc>
        <w:tc>
          <w:tcPr>
            <w:tcW w:type="dxa" w:w="6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Dimension F, passage de 2 à 3 : cadrer, prioriser, dérouler sur quatre trimestres, former, piloter.</w:t>
            </w:r>
          </w:p>
        </w:tc>
      </w:tr>
      <w:tr>
        <w:trPr>
          <w:cantSplit/>
        </w:trPr>
        <w:tc>
          <w:tcPr>
            <w:tcW w:type="dxa" w:w="3600"/>
            <w:shd w:fill="F8FAFC" w:color="auto" w:val="clear"/>
            <w:tcMar>
              <w:top w:type="dxa" w:w="70"/>
              <w:left w:type="dxa" w:w="100"/>
              <w:bottom w:type="dxa" w:w="70"/>
              <w:right w:type="dxa" w:w="100"/>
            </w:tcMar>
            <w:vAlign w:val="top"/>
          </w:tcPr>
          <w:p>
            <w:pPr>
              <w:spacing w:after="40" w:before="0" w:line="276" w:lineRule="auto"/>
            </w:pPr>
            <w:hyperlink w:history="1" r:id="rId98bwasu6vnz_mr7kj-mjf">
              <w:r>
                <w:rPr>
                  <w:rFonts w:ascii="Arial" w:cs="Arial" w:eastAsia="Arial" w:hAnsi="Arial"/>
                  <w:color w:val="176CAD"/>
                  <w:sz w:val="19"/>
                  <w:szCs w:val="19"/>
                </w:rPr>
                <w:t xml:space="preserve">Catalogue de ressources app.nextstart.ai</w:t>
              </w:r>
            </w:hyperlink>
          </w:p>
        </w:tc>
        <w:tc>
          <w:tcPr>
            <w:tcW w:type="dxa" w:w="6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Dimensions B et C : prompts, agents et fiches Cowork par métier, pour documenter des cas d’usage.</w:t>
            </w:r>
          </w:p>
        </w:tc>
      </w:tr>
      <w:tr>
        <w:trPr>
          <w:cantSplit/>
        </w:trPr>
        <w:tc>
          <w:tcPr>
            <w:tcW w:type="dxa" w:w="3600"/>
            <w:shd w:fill="F8FAFC" w:color="auto" w:val="clear"/>
            <w:tcMar>
              <w:top w:type="dxa" w:w="70"/>
              <w:left w:type="dxa" w:w="100"/>
              <w:bottom w:type="dxa" w:w="70"/>
              <w:right w:type="dxa" w:w="100"/>
            </w:tcMar>
            <w:vAlign w:val="top"/>
          </w:tcPr>
          <w:p>
            <w:pPr>
              <w:spacing w:after="40" w:before="0" w:line="276" w:lineRule="auto"/>
            </w:pPr>
            <w:hyperlink w:history="1" r:id="rIddwlzpmih2vtnxjtee1ldm">
              <w:r>
                <w:rPr>
                  <w:rFonts w:ascii="Arial" w:cs="Arial" w:eastAsia="Arial" w:hAnsi="Arial"/>
                  <w:color w:val="176CAD"/>
                  <w:sz w:val="19"/>
                  <w:szCs w:val="19"/>
                </w:rPr>
                <w:t xml:space="preserve">Diagnostic en ligne</w:t>
              </w:r>
            </w:hyperlink>
          </w:p>
        </w:tc>
        <w:tc>
          <w:tcPr>
            <w:tcW w:type="dxa" w:w="6038"/>
            <w:tcMar>
              <w:top w:type="dxa" w:w="70"/>
              <w:left w:type="dxa" w:w="100"/>
              <w:bottom w:type="dxa" w:w="70"/>
              <w:right w:type="dxa" w:w="100"/>
            </w:tcMar>
            <w:vAlign w:val="top"/>
          </w:tcPr>
          <w:p>
            <w:pPr>
              <w:spacing w:after="40" w:before="0" w:line="276" w:lineRule="auto"/>
            </w:pPr>
            <w:r>
              <w:rPr>
                <w:rFonts w:ascii="Arial" w:cs="Arial" w:eastAsia="Arial" w:hAnsi="Arial"/>
                <w:sz w:val="19"/>
                <w:szCs w:val="19"/>
              </w:rPr>
              <w:t xml:space="preserve">Préparation individuelle de l’atelier, en six minutes.</w:t>
            </w:r>
          </w:p>
        </w:tc>
      </w:tr>
    </w:tbl>
    <w:p>
      <w:pPr>
        <w:spacing w:after="200"/>
      </w:pP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638"/>
      </w:tblGrid>
      <w:tr>
        <w:trPr>
          <w:cantSplit/>
        </w:trPr>
        <w:tc>
          <w:tcPr>
            <w:tcW w:type="dxa" w:w="9638"/>
            <w:tcBorders>
              <w:top w:val="single" w:color="178A80" w:sz="4"/>
              <w:left w:val="single" w:color="178A80" w:sz="24"/>
              <w:bottom w:val="single" w:color="178A80" w:sz="4"/>
              <w:right w:val="single" w:color="178A80" w:sz="4"/>
            </w:tcBorders>
            <w:shd w:fill="E6F4F2" w:color="auto" w:val="clear"/>
            <w:tcMar>
              <w:top w:type="dxa" w:w="140"/>
              <w:left w:type="dxa" w:w="200"/>
              <w:bottom w:type="dxa" w:w="140"/>
              <w:right w:type="dxa" w:w="200"/>
            </w:tcMar>
          </w:tcPr>
          <w:p>
            <w:pPr>
              <w:spacing w:after="0" w:before="0" w:line="276" w:lineRule="auto"/>
            </w:pPr>
            <w:r>
              <w:rPr>
                <w:rFonts w:ascii="Arial" w:cs="Arial" w:eastAsia="Arial" w:hAnsi="Arial"/>
                <w:b/>
                <w:bCs/>
              </w:rPr>
              <w:t xml:space="preserve">La Méthode NextStart. </w:t>
            </w:r>
            <w:r>
              <w:rPr>
                <w:rFonts w:ascii="Arial" w:cs="Arial" w:eastAsia="Arial" w:hAnsi="Arial"/>
              </w:rPr>
              <w:t xml:space="preserve">La grille de maturité est l’une des quatre briques de la méthode d’adoption de l’IA à l’échelle d’une organisation que nous formalisons dans un ouvrage à paraître : la grille de maturité, l’échelle des capacités (Converser, Configurer, Connecter, Confier), la trajectoire en quatre temps (Embarquer, Maîtriser, Déléguer, Transformer) et le moteur de diffusion. Pour être informé de sa parution : </w:t>
            </w:r>
            <w:hyperlink w:history="1" r:id="rIdizzjax84qo6ei-twauiks">
              <w:r>
                <w:rPr>
                  <w:rFonts w:ascii="Arial" w:cs="Arial" w:eastAsia="Arial" w:hAnsi="Arial"/>
                  <w:color w:val="176CAD"/>
                </w:rPr>
                <w:t xml:space="preserve">www.nextstart.ai</w:t>
              </w:r>
            </w:hyperlink>
            <w:r>
              <w:rPr>
                <w:rFonts w:ascii="Arial" w:cs="Arial" w:eastAsia="Arial" w:hAnsi="Arial"/>
              </w:rPr>
              <w:t xml:space="preserve">.</w:t>
            </w:r>
          </w:p>
        </w:tc>
      </w:tr>
    </w:tbl>
    <w:p>
      <w:pPr>
        <w:spacing w:after="200"/>
      </w:pPr>
    </w:p>
    <w:p>
      <w:pPr>
        <w:spacing w:after="120" w:before="0" w:line="276" w:lineRule="auto"/>
      </w:pPr>
      <w:r>
        <w:rPr>
          <w:rFonts w:ascii="Arial" w:cs="Arial" w:eastAsia="Arial" w:hAnsi="Arial"/>
          <w:color w:val="475569"/>
          <w:sz w:val="18"/>
          <w:szCs w:val="18"/>
        </w:rPr>
        <w:t xml:space="preserve">NextStart.AI accompagne des organisations de toutes tailles dans l’adoption de l’IA générative : formation, ambassadeurs, agents, Cowork et conseil. Ce document peut être reproduit et adapté en conservant la mention de la source. Version 2026.1.</w:t>
      </w:r>
    </w:p>
    <w:sectPr>
      <w:headerReference w:type="default" r:id="rId7"/>
      <w:headerReference w:type="first" r:id="rId8"/>
      <w:footerReference w:type="default" r:id="rId9"/>
      <w:footerReference w:type="first" r:id="rId10"/>
      <w:pgSz w:w="11906" w:h="16838" w:orient="portrait"/>
      <w:pgMar w:top="1300" w:right="1134" w:bottom="1200" w:left="1134" w:header="600" w:footer="600"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638"/>
      </w:tabs>
    </w:pPr>
    <w:r>
      <w:rPr>
        <w:rFonts w:ascii="Arial" w:cs="Arial" w:eastAsia="Arial" w:hAnsi="Arial"/>
        <w:color w:val="475569"/>
        <w:sz w:val="16"/>
        <w:szCs w:val="16"/>
      </w:rPr>
      <w:t xml:space="preserve">www.nextstart.ai</w:t>
    </w:r>
    <w:r>
      <w:rPr>
        <w:rFonts w:ascii="Arial" w:cs="Arial" w:eastAsia="Arial" w:hAnsi="Arial"/>
        <w:color w:val="475569"/>
        <w:sz w:val="16"/>
        <w:szCs w:val="16"/>
      </w:rPr>
      <w:t xml:space="preserve">	Page </w:t>
    </w:r>
    <w:r>
      <w:rPr>
        <w:rFonts w:ascii="Arial" w:cs="Arial" w:eastAsia="Arial" w:hAnsi="Arial"/>
        <w:color w:val="475569"/>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2E8F0" w:sz="4" w:space="4"/>
      </w:pBdr>
      <w:tabs>
        <w:tab w:val="right" w:pos="9638"/>
      </w:tabs>
    </w:pPr>
    <w:r>
      <w:rPr>
        <w:rFonts w:ascii="Arial" w:cs="Arial" w:eastAsia="Arial" w:hAnsi="Arial"/>
        <w:b/>
        <w:bCs/>
        <w:color w:val="475569"/>
        <w:sz w:val="16"/>
        <w:szCs w:val="16"/>
      </w:rPr>
      <w:t xml:space="preserve">Grille de maturité IA</w:t>
    </w:r>
    <w:r>
      <w:rPr>
        <w:rFonts w:ascii="Arial" w:cs="Arial" w:eastAsia="Arial" w:hAnsi="Arial"/>
        <w:color w:val="475569"/>
        <w:sz w:val="16"/>
        <w:szCs w:val="16"/>
      </w:rPr>
      <w:t xml:space="preserve">	Kit NextStart.AI  ·  Version 2026.1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76CAD"/>
      </w:rPr>
    </w:lvl>
    <w:lvl w:ilvl="1" w15:tentative="1">
      <w:start w:val="1"/>
      <w:numFmt w:val="bullet"/>
      <w:lvlText w:val="–"/>
      <w:lvlJc w:val="left"/>
      <w:pPr>
        <w:ind w:left="720" w:hanging="240"/>
      </w:pPr>
    </w:lvl>
  </w:abstractNum>
  <w:abstractNum w:abstractNumId="3" w15:restartNumberingAfterBreak="0">
    <w:multiLevelType w:val="hybridMultilevel"/>
    <w:lvl w:ilvl="0" w15:tentative="1">
      <w:start w:val="1"/>
      <w:numFmt w:val="decimal"/>
      <w:lvlText w:val="%1."/>
      <w:lvlJc w:val="left"/>
      <w:pPr>
        <w:ind w:left="400" w:hanging="300"/>
      </w:pPr>
      <w:rPr>
        <w:b/>
        <w:bCs/>
        <w:color w:val="176CAD"/>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F172A"/>
        <w:sz w:val="21"/>
        <w:szCs w:val="21"/>
      </w:rPr>
    </w:rPrDefault>
    <w:pPrDefault>
      <w:pPr>
        <w:spacing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240" w:before="0"/>
      <w:outlineLvl w:val="0"/>
    </w:pPr>
    <w:rPr>
      <w:rFonts w:ascii="Arial" w:cs="Arial" w:eastAsia="Arial" w:hAnsi="Arial"/>
      <w:b/>
      <w:bCs/>
      <w:color w:val="0F172A"/>
      <w:sz w:val="40"/>
      <w:szCs w:val="40"/>
    </w:rPr>
  </w:style>
  <w:style w:type="paragraph" w:styleId="Heading2">
    <w:name w:val="Heading 2"/>
    <w:basedOn w:val="Normal"/>
    <w:next w:val="Normal"/>
    <w:qFormat/>
    <w:pPr>
      <w:keepNext/>
      <w:spacing w:after="120" w:before="320"/>
      <w:outlineLvl w:val="1"/>
    </w:pPr>
    <w:rPr>
      <w:rFonts w:ascii="Arial" w:cs="Arial" w:eastAsia="Arial" w:hAnsi="Arial"/>
      <w:b/>
      <w:bCs/>
      <w:color w:val="176CAD"/>
      <w:sz w:val="28"/>
      <w:szCs w:val="28"/>
    </w:rPr>
  </w:style>
  <w:style w:type="paragraph" w:styleId="Heading3">
    <w:name w:val="Heading 3"/>
    <w:basedOn w:val="Normal"/>
    <w:next w:val="Normal"/>
    <w:qFormat/>
    <w:pPr>
      <w:keepNext/>
      <w:spacing w:after="80" w:before="200"/>
      <w:outlineLvl w:val="2"/>
    </w:pPr>
    <w:rPr>
      <w:rFonts w:ascii="Arial" w:cs="Arial" w:eastAsia="Arial" w:hAnsi="Arial"/>
      <w:b/>
      <w:bCs/>
      <w:color w:val="0F172A"/>
      <w:sz w:val="22"/>
      <w:szCs w:val="22"/>
    </w:rPr>
  </w:style>
  <w:style w:type="paragraph" w:styleId="TOC1">
    <w:name w:val="toc 1"/>
    <w:basedOn w:val="Normal"/>
    <w:next w:val="Normal"/>
    <w:pPr>
      <w:spacing w:after="40" w:before="120"/>
    </w:pPr>
    <w:rPr>
      <w:rFonts w:ascii="Arial" w:cs="Arial" w:eastAsia="Arial" w:hAnsi="Arial"/>
      <w:b/>
      <w:bCs/>
      <w:sz w:val="21"/>
      <w:szCs w:val="21"/>
    </w:rPr>
  </w:style>
  <w:style w:type="paragraph" w:styleId="TOC2">
    <w:name w:val="toc 2"/>
    <w:basedOn w:val="Normal"/>
    <w:next w:val="Normal"/>
    <w:pPr>
      <w:spacing w:after="20"/>
      <w:ind w:left="360"/>
    </w:pPr>
    <w:rPr>
      <w:rFonts w:ascii="Arial" w:cs="Arial" w:eastAsia="Arial" w:hAnsi="Arial"/>
      <w:color w:val="475569"/>
      <w:sz w:val="20"/>
      <w:szCs w:val="20"/>
    </w:rPr>
  </w:style>
  <w:style w:type="character" w:styleId="Hyperlink">
    <w:name w:val="Hyperlink"/>
    <w:basedOn w:val="DefaultParagraphFont"/>
    <w:uiPriority w:val="99"/>
    <w:unhideWhenUsed/>
    <w:rPr>
      <w:color w:val="176CAD"/>
      <w:u w:val="non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v5enhdirwauqdjbwrbpc2" Type="http://schemas.openxmlformats.org/officeDocument/2006/relationships/hyperlink" Target="https://www.nextstart.ai/" TargetMode="External"/><Relationship Id="rIddsftlbgvir9qybyaqbfxe" Type="http://schemas.openxmlformats.org/officeDocument/2006/relationships/hyperlink" Target="https://www.nextstart.ai/offre/masterclass-decouverte-ia-generative/" TargetMode="External"/><Relationship Id="rIdkof5hbp4kh99noo1rver5" Type="http://schemas.openxmlformats.org/officeDocument/2006/relationships/hyperlink" Target="https://www.nextstart.ai/offre/prompt-party-aux-ia-generatives/" TargetMode="External"/><Relationship Id="rId5xtp5u3gbgcqbxfa25c2g" Type="http://schemas.openxmlformats.org/officeDocument/2006/relationships/hyperlink" Target="https://www.nextstart.ai/offre/formation-champions-ia/" TargetMode="External"/><Relationship Id="rIdbtfyfh1482yqraskvjerd" Type="http://schemas.openxmlformats.org/officeDocument/2006/relationships/hyperlink" Target="https://www.nextstart.ai/offre/workshop-aux-ia-generatives/" TargetMode="External"/><Relationship Id="rIdxybxczkbdbyu9ndbcsmkv" Type="http://schemas.openxmlformats.org/officeDocument/2006/relationships/hyperlink" Target="https://www.nextstart.ai/offre/challenge-aux-ia-generatives/" TargetMode="External"/><Relationship Id="rIdo5rtrt76qjveb24ctf6pd" Type="http://schemas.openxmlformats.org/officeDocument/2006/relationships/hyperlink" Target="https://www.nextstart.ai/offre/formation-metier-ia-generative/" TargetMode="External"/><Relationship Id="rIdqheutazdm9ql5x8sq-w-u" Type="http://schemas.openxmlformats.org/officeDocument/2006/relationships/hyperlink" Target="https://www.nextstart.ai/offre/agent-party/" TargetMode="External"/><Relationship Id="rIdo1t9aupbdg40xfjzbmbr4" Type="http://schemas.openxmlformats.org/officeDocument/2006/relationships/hyperlink" Target="https://www.nextstart.ai/offre/agent-sprint/" TargetMode="External"/><Relationship Id="rIdpbv5yo60x9gd5jwsuv3lt" Type="http://schemas.openxmlformats.org/officeDocument/2006/relationships/hyperlink" Target="https://www.nextstart.ai/offre/cowork-party/" TargetMode="External"/><Relationship Id="rIdpukjujgpeuptapsh1jxxx" Type="http://schemas.openxmlformats.org/officeDocument/2006/relationships/hyperlink" Target="https://www.nextstart.ai/offre/audit-organisation/" TargetMode="External"/><Relationship Id="rIdtt_ow2aksbtuztifcrojr" Type="http://schemas.openxmlformats.org/officeDocument/2006/relationships/hyperlink" Target="https://www.nextstart.ai/offre/cadrage-programme-ia/" TargetMode="External"/><Relationship Id="rIdd34lq5evdpsuwwnegc7bz" Type="http://schemas.openxmlformats.org/officeDocument/2006/relationships/hyperlink" Target="https://www.nextstart.ai/offre/agent-studio/" TargetMode="External"/><Relationship Id="rId6lu4ab44fcu9kwjooujou" Type="http://schemas.openxmlformats.org/officeDocument/2006/relationships/hyperlink" Target="https://www.nextstart.ai/offre/charte-usage-ia-generative/" TargetMode="External"/><Relationship Id="rIdek5ngl1kk3ux5b6wro-ux" Type="http://schemas.openxmlformats.org/officeDocument/2006/relationships/hyperlink" Target="https://www.nextstart.ai/offre/audit-organisation/" TargetMode="External"/><Relationship Id="rId7fxis18iymczmyujhjvb_" Type="http://schemas.openxmlformats.org/officeDocument/2006/relationships/hyperlink" Target="https://www.nextstart.ai/offre/cadrage-programme-ia/" TargetMode="External"/><Relationship Id="rIdypbumnaotdxvj9tml36o0" Type="http://schemas.openxmlformats.org/officeDocument/2006/relationships/hyperlink" Target="https://www.nextstart.ai/offre/acculturation-comex/" TargetMode="External"/><Relationship Id="rId2-lybde9r0zhs-oyzvtj0" Type="http://schemas.openxmlformats.org/officeDocument/2006/relationships/hyperlink" Target="https://www.nextstart.ai/offre/cadrage-programme-ia/" TargetMode="External"/><Relationship Id="rIdu4kv9cbjisgjzhko86tde" Type="http://schemas.openxmlformats.org/officeDocument/2006/relationships/hyperlink" Target="https://www.nextstart.ai/offre/reinventer-organisation/" TargetMode="External"/><Relationship Id="rIdsus6vuluqx9tgntgmlk6o" Type="http://schemas.openxmlformats.org/officeDocument/2006/relationships/hyperlink" Target="https://www.nextstart.ai/adoption/" TargetMode="External"/><Relationship Id="rIdg05887zgohvq4yfkcbvw4" Type="http://schemas.openxmlformats.org/officeDocument/2006/relationships/hyperlink" Target="https://www.nextstart.ai/modele-charte-ia/" TargetMode="External"/><Relationship Id="rIdkdnn8hcbrxbxoj14klo0q" Type="http://schemas.openxmlformats.org/officeDocument/2006/relationships/hyperlink" Target="https://www.nextstart.ai/kit-ambassadeurs-ia/" TargetMode="External"/><Relationship Id="rId2srvnoco4_ojjmyd5cuhy" Type="http://schemas.openxmlformats.org/officeDocument/2006/relationships/hyperlink" Target="https://www.nextstart.ai/kit-manager-ia/" TargetMode="External"/><Relationship Id="rIdpenqfazqpdt4rzqsbcww0" Type="http://schemas.openxmlformats.org/officeDocument/2006/relationships/hyperlink" Target="https://www.nextstart.ai/kit-feuille-de-route-ia/" TargetMode="External"/><Relationship Id="rId98bwasu6vnz_mr7kj-mjf" Type="http://schemas.openxmlformats.org/officeDocument/2006/relationships/hyperlink" Target="https://app.nextstart.ai/" TargetMode="External"/><Relationship Id="rIddwlzpmih2vtnxjtee1ldm" Type="http://schemas.openxmlformats.org/officeDocument/2006/relationships/hyperlink" Target="https://www.nextstart.ai/adoption/" TargetMode="External"/><Relationship Id="rIdizzjax84qo6ei-twauiks" Type="http://schemas.openxmlformats.org/officeDocument/2006/relationships/hyperlink" Target="https://www.nextstart.ai/" TargetMode="External"/><Relationship Id="rId11" Type="http://schemas.openxmlformats.org/officeDocument/2006/relationships/image" Target="media/7e19bd9a24fc7fc40f8b342aef4c9aff2d6b882e.png"/><Relationship Id="rId3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Grille de maturité IA</dc:title>
  <dc:creator>NextStart.AI</dc:creator>
  <dc:description>Kit NextStart.AI : situer votre organisation en 90 minutes</dc:description>
  <cp:lastModifiedBy>Un-named</cp:lastModifiedBy>
  <cp:revision>1</cp:revision>
  <dcterms:created xsi:type="dcterms:W3CDTF">2026-09-14T20:20:23.219Z</dcterms:created>
  <dcterms:modified xsi:type="dcterms:W3CDTF">2026-09-14T20:20:23.219Z</dcterms:modified>
</cp:coreProperties>
</file>

<file path=docProps/custom.xml><?xml version="1.0" encoding="utf-8"?>
<Properties xmlns="http://schemas.openxmlformats.org/officeDocument/2006/custom-properties" xmlns:vt="http://schemas.openxmlformats.org/officeDocument/2006/docPropsVTypes"/>
</file>